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docProps/core.xml" ContentType="application/vnd.openxmlformats-package.core-properties+xml"/>
  <Override PartName="/word/footer2.xml" ContentType="application/vnd.openxmlformats-officedocument.wordprocessingml.footer+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jc w:val="center"/>
        <w:rPr>
          <w:rFonts w:ascii="Calibri" w:hAnsi="Calibri" w:eastAsia="Calibri" w:cs="Calibri"/>
          <w:b/>
          <w:sz w:val="26"/>
          <w:szCs w:val="26"/>
        </w:rPr>
      </w:pPr>
      <w:r>
        <w:rPr>
          <w:rFonts w:ascii="Calibri" w:hAnsi="Calibri" w:eastAsia="Calibri" w:cs="Calibri"/>
          <w:b/>
          <w:sz w:val="26"/>
          <w:szCs w:val="26"/>
        </w:rPr>
        <w:t xml:space="preserve">Innocence Project Testimony to Judge Analisa Torres of the United States District Court, Southern District of New York</w:t>
      </w:r>
      <w:r>
        <w:rPr>
          <w:rFonts w:ascii="Calibri" w:hAnsi="Calibri" w:eastAsia="Calibri" w:cs="Calibri"/>
          <w:b/>
          <w:sz w:val="26"/>
          <w:szCs w:val="26"/>
        </w:rPr>
      </w:r>
    </w:p>
    <w:p>
      <w:pPr>
        <w:pBdr/>
        <w:spacing/>
        <w:ind/>
        <w:jc w:val="center"/>
        <w:rPr>
          <w:rFonts w:ascii="Calibri" w:hAnsi="Calibri" w:eastAsia="Calibri" w:cs="Calibri"/>
          <w:b/>
          <w:sz w:val="26"/>
          <w:szCs w:val="26"/>
        </w:rPr>
      </w:pPr>
      <w:r>
        <w:rPr>
          <w:rFonts w:ascii="Calibri" w:hAnsi="Calibri" w:eastAsia="Calibri" w:cs="Calibri"/>
          <w:b/>
          <w:sz w:val="26"/>
          <w:szCs w:val="26"/>
        </w:rPr>
        <w:t xml:space="preserve">On the Honorable James Yates’ Report to the Court on Police Misconduct and Discipline</w:t>
      </w:r>
      <w:r>
        <w:rPr>
          <w:rFonts w:ascii="Calibri" w:hAnsi="Calibri" w:eastAsia="Calibri" w:cs="Calibri"/>
          <w:b/>
          <w:sz w:val="26"/>
          <w:szCs w:val="26"/>
        </w:rPr>
      </w:r>
    </w:p>
    <w:p>
      <w:pPr>
        <w:pBdr/>
        <w:spacing/>
        <w:ind/>
        <w:jc w:val="center"/>
        <w:rPr>
          <w:rFonts w:ascii="Calibri" w:hAnsi="Calibri" w:eastAsia="Calibri" w:cs="Calibri"/>
          <w:b/>
          <w:sz w:val="26"/>
          <w:szCs w:val="26"/>
        </w:rPr>
      </w:pPr>
      <w:r>
        <w:rPr>
          <w:rFonts w:ascii="Calibri" w:hAnsi="Calibri" w:eastAsia="Calibri" w:cs="Calibri"/>
          <w:b/>
          <w:sz w:val="26"/>
          <w:szCs w:val="26"/>
        </w:rPr>
        <w:t xml:space="preserve">December 2</w:t>
      </w:r>
      <w:r>
        <w:rPr>
          <w:rFonts w:ascii="Calibri" w:hAnsi="Calibri" w:eastAsia="Calibri" w:cs="Calibri"/>
          <w:b/>
          <w:sz w:val="26"/>
          <w:szCs w:val="26"/>
        </w:rPr>
        <w:t xml:space="preserve">4</w:t>
      </w:r>
      <w:r>
        <w:rPr>
          <w:rFonts w:ascii="Calibri" w:hAnsi="Calibri" w:eastAsia="Calibri" w:cs="Calibri"/>
          <w:b/>
          <w:sz w:val="26"/>
          <w:szCs w:val="26"/>
        </w:rPr>
        <w:t xml:space="preserve">, 2024</w:t>
      </w:r>
      <w:r>
        <w:rPr>
          <w:rFonts w:ascii="Calibri" w:hAnsi="Calibri" w:eastAsia="Calibri" w:cs="Calibri"/>
          <w:b/>
          <w:sz w:val="26"/>
          <w:szCs w:val="26"/>
        </w:rPr>
      </w:r>
    </w:p>
    <w:p>
      <w:pPr>
        <w:pBdr/>
        <w:spacing/>
        <w:ind/>
        <w:jc w:val="center"/>
        <w:rPr>
          <w:rFonts w:ascii="Calibri" w:hAnsi="Calibri" w:eastAsia="Calibri" w:cs="Calibri"/>
          <w:b/>
          <w:sz w:val="26"/>
          <w:szCs w:val="26"/>
        </w:rPr>
      </w:pPr>
      <w:r>
        <w:rPr>
          <w:rFonts w:ascii="Calibri" w:hAnsi="Calibri" w:eastAsia="Calibri" w:cs="Calibri"/>
          <w:b/>
          <w:sz w:val="26"/>
          <w:szCs w:val="26"/>
        </w:rPr>
      </w:r>
      <w:r>
        <w:rPr>
          <w:rFonts w:ascii="Calibri" w:hAnsi="Calibri" w:eastAsia="Calibri" w:cs="Calibri"/>
          <w:b/>
          <w:sz w:val="26"/>
          <w:szCs w:val="26"/>
        </w:rPr>
      </w:r>
    </w:p>
    <w:p>
      <w:pPr>
        <w:pBdr/>
        <w:spacing/>
        <w:ind/>
        <w:rPr>
          <w:rFonts w:ascii="Calibri" w:hAnsi="Calibri" w:eastAsia="Calibri" w:cs="Calibri"/>
          <w:sz w:val="26"/>
          <w:szCs w:val="26"/>
        </w:rPr>
      </w:pPr>
      <w:r>
        <w:rPr>
          <w:rFonts w:ascii="Calibri" w:hAnsi="Calibri" w:eastAsia="Calibri" w:cs="Calibri"/>
          <w:sz w:val="26"/>
          <w:szCs w:val="26"/>
        </w:rPr>
        <w:t xml:space="preserve">The Innocence Project works to free the innocent, prevent wrongful convictions, and create fair,</w:t>
      </w:r>
      <w:r>
        <w:rPr>
          <w:rFonts w:ascii="Calibri" w:hAnsi="Calibri" w:eastAsia="Calibri" w:cs="Calibri"/>
          <w:sz w:val="26"/>
          <w:szCs w:val="26"/>
        </w:rPr>
        <w:t xml:space="preserve"> </w:t>
      </w:r>
      <w:r>
        <w:rPr>
          <w:rFonts w:ascii="Calibri" w:hAnsi="Calibri" w:eastAsia="Calibri" w:cs="Calibri"/>
          <w:sz w:val="26"/>
          <w:szCs w:val="26"/>
        </w:rPr>
        <w:t xml:space="preserve">compassionate, and equitable systems of justice for everyone. Founded in 1992 by Barry C. Scheck and Peter J. Neufeld at the Benjamin N. Cardoz</w:t>
      </w:r>
      <w:r>
        <w:rPr>
          <w:rFonts w:ascii="Calibri" w:hAnsi="Calibri" w:eastAsia="Calibri" w:cs="Calibri"/>
          <w:sz w:val="26"/>
          <w:szCs w:val="26"/>
        </w:rPr>
        <w:t xml:space="preserve">o School of Law at Yeshiva University, the organization is now an independent nonproﬁt. Our work is guided by science and grounded in anti-racism. Since our inception, the Innocence Project has used DNA and other scientiﬁc advancements to prove innocence. </w:t>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t xml:space="preserve">We are equally dedicated to transforming the inequities and failings that lead to wrongful convictions and disproportionately harm communities of color, especially Black people. Working alongside policymakers, support</w:t>
      </w:r>
      <w:r>
        <w:rPr>
          <w:rFonts w:ascii="Calibri" w:hAnsi="Calibri" w:eastAsia="Calibri" w:cs="Calibri"/>
          <w:sz w:val="26"/>
          <w:szCs w:val="26"/>
        </w:rPr>
        <w:t xml:space="preserve">ers, and partner organizations, the Innocence Project spearheads federal and state-based legislative changes that promote greater police and prosecutor accountability; improve access to justice, including through post-conviction DNA testing; and meaningful</w:t>
      </w:r>
      <w:r>
        <w:rPr>
          <w:rFonts w:ascii="Calibri" w:hAnsi="Calibri" w:eastAsia="Calibri" w:cs="Calibri"/>
          <w:sz w:val="26"/>
          <w:szCs w:val="26"/>
        </w:rPr>
        <w:t xml:space="preserve"> </w:t>
      </w:r>
      <w:r>
        <w:rPr>
          <w:rFonts w:ascii="Calibri" w:hAnsi="Calibri" w:eastAsia="Calibri" w:cs="Calibri"/>
          <w:sz w:val="26"/>
          <w:szCs w:val="26"/>
        </w:rPr>
        <w:t xml:space="preserve">compensat</w:t>
      </w:r>
      <w:r>
        <w:rPr>
          <w:rFonts w:ascii="Calibri" w:hAnsi="Calibri" w:eastAsia="Calibri" w:cs="Calibri"/>
          <w:sz w:val="26"/>
          <w:szCs w:val="26"/>
        </w:rPr>
        <w:t xml:space="preserve">ion of</w:t>
      </w:r>
      <w:r>
        <w:rPr>
          <w:rFonts w:ascii="Calibri" w:hAnsi="Calibri" w:eastAsia="Calibri" w:cs="Calibri"/>
          <w:sz w:val="26"/>
          <w:szCs w:val="26"/>
        </w:rPr>
        <w:t xml:space="preserve"> the wrongfully convicted. Our eﬀorts have led to the passage of more than 200 transformative state laws and federal reforms. </w:t>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t xml:space="preserve">The Innocence Project deeply appreciates the </w:t>
      </w:r>
      <w:r>
        <w:rPr>
          <w:rFonts w:ascii="Calibri" w:hAnsi="Calibri" w:eastAsia="Calibri" w:cs="Calibri"/>
          <w:sz w:val="26"/>
          <w:szCs w:val="26"/>
        </w:rPr>
        <w:t xml:space="preserve">extraordinary </w:t>
      </w:r>
      <w:r>
        <w:rPr>
          <w:rFonts w:ascii="Calibri" w:hAnsi="Calibri" w:eastAsia="Calibri" w:cs="Calibri"/>
          <w:sz w:val="26"/>
          <w:szCs w:val="26"/>
        </w:rPr>
        <w:t xml:space="preserve">report produced by the Honorable James Yates. </w:t>
      </w:r>
      <w:r>
        <w:rPr>
          <w:rFonts w:ascii="Calibri" w:hAnsi="Calibri" w:eastAsia="Calibri" w:cs="Calibri"/>
          <w:sz w:val="26"/>
          <w:szCs w:val="26"/>
        </w:rPr>
        <w:t xml:space="preserve">Judge Yates has a unique and valuable perspective – he was a Legal Aid lawyer in Brooklyn when our Co-Founders began as Legal Aid lawyers in the Bronx in 1976, h</w:t>
      </w:r>
      <w:r>
        <w:rPr>
          <w:rFonts w:ascii="Calibri" w:hAnsi="Calibri" w:eastAsia="Calibri" w:cs="Calibri"/>
          <w:sz w:val="26"/>
          <w:szCs w:val="26"/>
        </w:rPr>
        <w:t xml:space="preserve">e was counsel to two Speakers of the New York State Assembly and helped write many of New York’s statutes on criminal law and procedure, and he was a trial court judge. Those of us who have practiced in New York’s criminal legal system in positions of responsibility learned a lot from t</w:t>
      </w:r>
      <w:r>
        <w:rPr>
          <w:rFonts w:ascii="Calibri" w:hAnsi="Calibri" w:eastAsia="Calibri" w:cs="Calibri"/>
          <w:sz w:val="26"/>
          <w:szCs w:val="26"/>
        </w:rPr>
        <w:t xml:space="preserve">his report </w:t>
      </w:r>
      <w:r>
        <w:rPr>
          <w:rFonts w:ascii="Calibri" w:hAnsi="Calibri" w:eastAsia="Calibri" w:cs="Calibri"/>
          <w:sz w:val="26"/>
          <w:szCs w:val="26"/>
        </w:rPr>
        <w:t xml:space="preserve">and we can only hope it will serve as an inflection point for an overarching effort to develop a fair and effective system of oversight, discipline, and professionalism for every police and correction officer in our state. This Report </w:t>
      </w:r>
      <w:r>
        <w:rPr>
          <w:rFonts w:ascii="Calibri" w:hAnsi="Calibri" w:eastAsia="Calibri" w:cs="Calibri"/>
          <w:sz w:val="26"/>
          <w:szCs w:val="26"/>
        </w:rPr>
        <w:t xml:space="preserve">is a</w:t>
      </w:r>
      <w:r>
        <w:rPr>
          <w:rFonts w:ascii="Calibri" w:hAnsi="Calibri" w:eastAsia="Calibri" w:cs="Calibri"/>
          <w:sz w:val="26"/>
          <w:szCs w:val="26"/>
        </w:rPr>
        <w:t xml:space="preserve"> remarkably </w:t>
      </w:r>
      <w:r>
        <w:rPr>
          <w:rFonts w:ascii="Calibri" w:hAnsi="Calibri" w:eastAsia="Calibri" w:cs="Calibri"/>
          <w:sz w:val="26"/>
          <w:szCs w:val="26"/>
        </w:rPr>
        <w:t xml:space="preserve">comprehensive investigation of NYPD’s disciplinary practices</w:t>
      </w:r>
      <w:r>
        <w:rPr>
          <w:rFonts w:ascii="Calibri" w:hAnsi="Calibri" w:eastAsia="Calibri" w:cs="Calibri"/>
          <w:sz w:val="26"/>
          <w:szCs w:val="26"/>
        </w:rPr>
        <w:t xml:space="preserve"> that has application beyond SQFS encounters. The Report exposes</w:t>
      </w:r>
      <w:r>
        <w:rPr>
          <w:rFonts w:ascii="Calibri" w:hAnsi="Calibri" w:eastAsia="Calibri" w:cs="Calibri"/>
          <w:sz w:val="26"/>
          <w:szCs w:val="26"/>
        </w:rPr>
        <w:t xml:space="preserve"> an </w:t>
      </w:r>
      <w:r>
        <w:rPr>
          <w:rFonts w:ascii="Calibri" w:hAnsi="Calibri" w:eastAsia="Calibri" w:cs="Calibri"/>
          <w:sz w:val="26"/>
          <w:szCs w:val="26"/>
        </w:rPr>
        <w:t xml:space="preserve">overly</w:t>
      </w:r>
      <w:r>
        <w:rPr>
          <w:rFonts w:ascii="Calibri" w:hAnsi="Calibri" w:eastAsia="Calibri" w:cs="Calibri"/>
          <w:sz w:val="26"/>
          <w:szCs w:val="26"/>
        </w:rPr>
        <w:t xml:space="preserve"> complex system that bur</w:t>
      </w:r>
      <w:r>
        <w:rPr>
          <w:rFonts w:ascii="Calibri" w:hAnsi="Calibri" w:eastAsia="Calibri" w:cs="Calibri"/>
          <w:sz w:val="26"/>
          <w:szCs w:val="26"/>
        </w:rPr>
        <w:t xml:space="preserve">ies</w:t>
      </w:r>
      <w:r>
        <w:rPr>
          <w:rFonts w:ascii="Calibri" w:hAnsi="Calibri" w:eastAsia="Calibri" w:cs="Calibri"/>
          <w:sz w:val="26"/>
          <w:szCs w:val="26"/>
        </w:rPr>
        <w:t xml:space="preserve"> officer misconduct in an avalanche of </w:t>
      </w:r>
      <w:r>
        <w:rPr>
          <w:rFonts w:ascii="Calibri" w:hAnsi="Calibri" w:eastAsia="Calibri" w:cs="Calibri"/>
          <w:sz w:val="26"/>
          <w:szCs w:val="26"/>
        </w:rPr>
        <w:t xml:space="preserve">unnecessarily redundant and confusing </w:t>
      </w:r>
      <w:r>
        <w:rPr>
          <w:rFonts w:ascii="Calibri" w:hAnsi="Calibri" w:eastAsia="Calibri" w:cs="Calibri"/>
          <w:sz w:val="26"/>
          <w:szCs w:val="26"/>
        </w:rPr>
        <w:t xml:space="preserve">procedure</w:t>
      </w:r>
      <w:r>
        <w:rPr>
          <w:rFonts w:ascii="Calibri" w:hAnsi="Calibri" w:eastAsia="Calibri" w:cs="Calibri"/>
          <w:sz w:val="26"/>
          <w:szCs w:val="26"/>
        </w:rPr>
        <w:t xml:space="preserve">s</w:t>
      </w:r>
      <w:r>
        <w:rPr>
          <w:rFonts w:ascii="Calibri" w:hAnsi="Calibri" w:eastAsia="Calibri" w:cs="Calibri"/>
          <w:sz w:val="26"/>
          <w:szCs w:val="26"/>
        </w:rPr>
        <w:t xml:space="preserve">, </w:t>
      </w:r>
      <w:r>
        <w:rPr>
          <w:rFonts w:ascii="Calibri" w:hAnsi="Calibri" w:eastAsia="Calibri" w:cs="Calibri"/>
          <w:sz w:val="26"/>
          <w:szCs w:val="26"/>
        </w:rPr>
        <w:t xml:space="preserve">that </w:t>
      </w:r>
      <w:r>
        <w:rPr>
          <w:rFonts w:ascii="Calibri" w:hAnsi="Calibri" w:eastAsia="Calibri" w:cs="Calibri"/>
          <w:sz w:val="26"/>
          <w:szCs w:val="26"/>
        </w:rPr>
        <w:t xml:space="preserve">prevent</w:t>
      </w:r>
      <w:r>
        <w:rPr>
          <w:rFonts w:ascii="Calibri" w:hAnsi="Calibri" w:eastAsia="Calibri" w:cs="Calibri"/>
          <w:sz w:val="26"/>
          <w:szCs w:val="26"/>
        </w:rPr>
        <w:t xml:space="preserve">s</w:t>
      </w:r>
      <w:r>
        <w:rPr>
          <w:rFonts w:ascii="Calibri" w:hAnsi="Calibri" w:eastAsia="Calibri" w:cs="Calibri"/>
          <w:sz w:val="26"/>
          <w:szCs w:val="26"/>
        </w:rPr>
        <w:t xml:space="preserve"> the public</w:t>
      </w:r>
      <w:r>
        <w:rPr>
          <w:rFonts w:ascii="Calibri" w:hAnsi="Calibri" w:eastAsia="Calibri" w:cs="Calibri"/>
          <w:sz w:val="26"/>
          <w:szCs w:val="26"/>
        </w:rPr>
        <w:t xml:space="preserve">,</w:t>
      </w:r>
      <w:r>
        <w:rPr>
          <w:rFonts w:ascii="Calibri" w:hAnsi="Calibri" w:eastAsia="Calibri" w:cs="Calibri"/>
          <w:sz w:val="26"/>
          <w:szCs w:val="26"/>
        </w:rPr>
        <w:t xml:space="preserve"> </w:t>
      </w:r>
      <w:r>
        <w:rPr>
          <w:rFonts w:ascii="Calibri" w:hAnsi="Calibri" w:eastAsia="Calibri" w:cs="Calibri"/>
          <w:sz w:val="26"/>
          <w:szCs w:val="26"/>
        </w:rPr>
        <w:t xml:space="preserve">stakeholders, and NYPD itself </w:t>
      </w:r>
      <w:r>
        <w:rPr>
          <w:rFonts w:ascii="Calibri" w:hAnsi="Calibri" w:eastAsia="Calibri" w:cs="Calibri"/>
          <w:sz w:val="26"/>
          <w:szCs w:val="26"/>
        </w:rPr>
        <w:t xml:space="preserve">from understanding how officers are behaving on both individual and systemic levels</w:t>
      </w:r>
      <w:r>
        <w:rPr>
          <w:rFonts w:ascii="Calibri" w:hAnsi="Calibri" w:eastAsia="Calibri" w:cs="Calibri"/>
          <w:sz w:val="26"/>
          <w:szCs w:val="26"/>
        </w:rPr>
        <w:t xml:space="preserve">. This broken disciplinary system</w:t>
      </w:r>
      <w:r>
        <w:rPr>
          <w:rFonts w:ascii="Calibri" w:hAnsi="Calibri" w:eastAsia="Calibri" w:cs="Calibri"/>
          <w:sz w:val="26"/>
          <w:szCs w:val="26"/>
        </w:rPr>
        <w:t xml:space="preserve"> mask</w:t>
      </w:r>
      <w:r>
        <w:rPr>
          <w:rFonts w:ascii="Calibri" w:hAnsi="Calibri" w:eastAsia="Calibri" w:cs="Calibri"/>
          <w:sz w:val="26"/>
          <w:szCs w:val="26"/>
        </w:rPr>
        <w:t xml:space="preserve">s</w:t>
      </w:r>
      <w:r>
        <w:rPr>
          <w:rFonts w:ascii="Calibri" w:hAnsi="Calibri" w:eastAsia="Calibri" w:cs="Calibri"/>
          <w:sz w:val="26"/>
          <w:szCs w:val="26"/>
        </w:rPr>
        <w:t xml:space="preserve"> patterns of misconduct that we now know are </w:t>
      </w:r>
      <w:r>
        <w:rPr>
          <w:rFonts w:ascii="Calibri" w:hAnsi="Calibri" w:eastAsia="Calibri" w:cs="Calibri"/>
          <w:sz w:val="26"/>
          <w:szCs w:val="26"/>
        </w:rPr>
        <w:t xml:space="preserve">the antecedents</w:t>
      </w:r>
      <w:r>
        <w:rPr>
          <w:rFonts w:ascii="Calibri" w:hAnsi="Calibri" w:eastAsia="Calibri" w:cs="Calibri"/>
          <w:sz w:val="26"/>
          <w:szCs w:val="26"/>
        </w:rPr>
        <w:t xml:space="preserve"> of wrongful convictions</w:t>
      </w:r>
      <w:r>
        <w:rPr>
          <w:rFonts w:ascii="Calibri" w:hAnsi="Calibri" w:eastAsia="Calibri" w:cs="Calibri"/>
          <w:sz w:val="26"/>
          <w:szCs w:val="26"/>
        </w:rPr>
        <w:t xml:space="preserve"> and disciplinary determinations that are unfair to both complainants and accused officers. </w:t>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t xml:space="preserve">This lack of transparency and dysfunction is simply unacceptable in an age where AI tools have the capability of tracki</w:t>
      </w:r>
      <w:r>
        <w:rPr>
          <w:rFonts w:ascii="Calibri" w:hAnsi="Calibri" w:eastAsia="Calibri" w:cs="Calibri"/>
          <w:sz w:val="26"/>
          <w:szCs w:val="26"/>
        </w:rPr>
        <w:t xml:space="preserve">ng patterns of misconduct in ways we never thought was possible. All police and correction officers working in the City of New York should have licenses with unique identifiers (badge numbers are re-usable and common names impede accurate data collection).</w:t>
      </w:r>
      <w:r>
        <w:rPr>
          <w:rStyle w:val="938"/>
          <w:rFonts w:ascii="Calibri" w:hAnsi="Calibri" w:eastAsia="Calibri" w:cs="Calibri"/>
          <w:sz w:val="26"/>
          <w:szCs w:val="26"/>
        </w:rPr>
        <w:footnoteReference w:id="2"/>
      </w:r>
      <w:r>
        <w:rPr>
          <w:rFonts w:ascii="Calibri" w:hAnsi="Calibri" w:eastAsia="Calibri" w:cs="Calibri"/>
          <w:sz w:val="26"/>
          <w:szCs w:val="26"/>
        </w:rPr>
        <w:t xml:space="preserve"> Recent legislation in the state of California has instituted such a system and it enables crimi</w:t>
      </w:r>
      <w:r>
        <w:rPr>
          <w:rFonts w:ascii="Calibri" w:hAnsi="Calibri" w:eastAsia="Calibri" w:cs="Calibri"/>
          <w:sz w:val="26"/>
          <w:szCs w:val="26"/>
        </w:rPr>
        <w:t xml:space="preserve">nal legal stakeholders (prosecutors, defenders, courts) and, most significantly, the press, the public, the data scientists in academic institutions, and the non-profits working with impacted community groups to track and supplement misconduct information.</w:t>
      </w:r>
      <w:r>
        <w:rPr>
          <w:rStyle w:val="938"/>
          <w:rFonts w:ascii="Calibri" w:hAnsi="Calibri" w:eastAsia="Calibri" w:cs="Calibri"/>
          <w:sz w:val="26"/>
          <w:szCs w:val="26"/>
        </w:rPr>
        <w:footnoteReference w:id="3"/>
      </w:r>
      <w:r>
        <w:rPr>
          <w:rFonts w:ascii="Calibri" w:hAnsi="Calibri" w:eastAsia="Calibri" w:cs="Calibri"/>
          <w:sz w:val="26"/>
          <w:szCs w:val="26"/>
        </w:rPr>
        <w:t xml:space="preserve">   </w:t>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t xml:space="preserve">Police misconduct can take a variety of forms, from wrongful </w:t>
      </w:r>
      <w:r>
        <w:rPr>
          <w:rFonts w:ascii="Calibri" w:hAnsi="Calibri" w:eastAsia="Calibri" w:cs="Calibri"/>
          <w:sz w:val="26"/>
          <w:szCs w:val="26"/>
        </w:rPr>
        <w:t xml:space="preserve">SQFS </w:t>
      </w:r>
      <w:r>
        <w:rPr>
          <w:rFonts w:ascii="Calibri" w:hAnsi="Calibri" w:eastAsia="Calibri" w:cs="Calibri"/>
          <w:sz w:val="26"/>
          <w:szCs w:val="26"/>
        </w:rPr>
        <w:t xml:space="preserve">ecounters</w:t>
      </w:r>
      <w:r>
        <w:rPr>
          <w:rFonts w:ascii="Calibri" w:hAnsi="Calibri" w:eastAsia="Calibri" w:cs="Calibri"/>
          <w:sz w:val="26"/>
          <w:szCs w:val="26"/>
        </w:rPr>
        <w:t xml:space="preserve"> to </w:t>
      </w:r>
      <w:r>
        <w:rPr>
          <w:rFonts w:ascii="Calibri" w:hAnsi="Calibri" w:eastAsia="Calibri" w:cs="Calibri"/>
          <w:sz w:val="26"/>
          <w:szCs w:val="26"/>
        </w:rPr>
        <w:t xml:space="preserve">improper</w:t>
      </w:r>
      <w:r>
        <w:rPr>
          <w:rFonts w:ascii="Calibri" w:hAnsi="Calibri" w:eastAsia="Calibri" w:cs="Calibri"/>
          <w:sz w:val="26"/>
          <w:szCs w:val="26"/>
        </w:rPr>
        <w:t xml:space="preserve"> interrogation practices involving </w:t>
      </w:r>
      <w:r>
        <w:rPr>
          <w:rFonts w:ascii="Calibri" w:hAnsi="Calibri" w:eastAsia="Calibri" w:cs="Calibri"/>
          <w:sz w:val="26"/>
          <w:szCs w:val="26"/>
        </w:rPr>
        <w:t xml:space="preserve">deception</w:t>
      </w:r>
      <w:r>
        <w:rPr>
          <w:rFonts w:ascii="Calibri" w:hAnsi="Calibri" w:eastAsia="Calibri" w:cs="Calibri"/>
          <w:sz w:val="26"/>
          <w:szCs w:val="26"/>
        </w:rPr>
        <w:t xml:space="preserve"> and coercion that </w:t>
      </w:r>
      <w:r>
        <w:rPr>
          <w:rFonts w:ascii="Calibri" w:hAnsi="Calibri" w:eastAsia="Calibri" w:cs="Calibri"/>
          <w:sz w:val="26"/>
          <w:szCs w:val="26"/>
        </w:rPr>
        <w:t xml:space="preserve">generate</w:t>
      </w:r>
      <w:r>
        <w:rPr>
          <w:rFonts w:ascii="Calibri" w:hAnsi="Calibri" w:eastAsia="Calibri" w:cs="Calibri"/>
          <w:sz w:val="26"/>
          <w:szCs w:val="26"/>
        </w:rPr>
        <w:t xml:space="preserve"> false confessions, lying in police reports and </w:t>
      </w:r>
      <w:r>
        <w:rPr>
          <w:rFonts w:ascii="Calibri" w:hAnsi="Calibri" w:eastAsia="Calibri" w:cs="Calibri"/>
          <w:sz w:val="26"/>
          <w:szCs w:val="26"/>
        </w:rPr>
        <w:t xml:space="preserve">tailored</w:t>
      </w:r>
      <w:r>
        <w:rPr>
          <w:rFonts w:ascii="Calibri" w:hAnsi="Calibri" w:eastAsia="Calibri" w:cs="Calibri"/>
          <w:sz w:val="26"/>
          <w:szCs w:val="26"/>
        </w:rPr>
        <w:t xml:space="preserve"> testimony. It’s important to </w:t>
      </w:r>
      <w:r>
        <w:rPr>
          <w:rFonts w:ascii="Calibri" w:hAnsi="Calibri" w:eastAsia="Calibri" w:cs="Calibri"/>
          <w:sz w:val="26"/>
          <w:szCs w:val="26"/>
        </w:rPr>
        <w:t xml:space="preserve">emphasize</w:t>
      </w:r>
      <w:r>
        <w:rPr>
          <w:rFonts w:ascii="Calibri" w:hAnsi="Calibri" w:eastAsia="Calibri" w:cs="Calibri"/>
          <w:sz w:val="26"/>
          <w:szCs w:val="26"/>
        </w:rPr>
        <w:t xml:space="preserve"> that police misconduct doesn’t just undermine relationships between law enforcement and the community members they have pledged to serve; misconduct also leads to wrongful convictions.</w:t>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t xml:space="preserve">Nationally, 43.8% of wrongful convictions include an incident of police misconduct, according to the </w:t>
      </w:r>
      <w:hyperlink r:id="rId12" w:tooltip="https://www.law.umich.edu/special/exoneration/Pages/detaillist.aspx?View=%7BFAF6EDDB-5A68-4F8F-8A52-2C61F5BF9EA7%7D&amp;FilterField1=OM%5Fx0020%5FTags&amp;FilterValue1=OF" w:history="1">
        <w:r>
          <w:rPr>
            <w:rFonts w:ascii="Calibri" w:hAnsi="Calibri" w:eastAsia="Calibri" w:cs="Calibri"/>
            <w:color w:val="1155cc"/>
            <w:sz w:val="26"/>
            <w:szCs w:val="26"/>
            <w:u w:val="single"/>
          </w:rPr>
          <w:t xml:space="preserve">National Registry of Exonerations</w:t>
        </w:r>
      </w:hyperlink>
      <w:r>
        <w:rPr>
          <w:rFonts w:ascii="Calibri" w:hAnsi="Calibri" w:eastAsia="Calibri" w:cs="Calibri"/>
          <w:sz w:val="26"/>
          <w:szCs w:val="26"/>
        </w:rPr>
        <w:t xml:space="preserve">. In New York City, the </w:t>
      </w:r>
      <w:r>
        <w:rPr>
          <w:rFonts w:ascii="Calibri" w:hAnsi="Calibri" w:eastAsia="Calibri" w:cs="Calibri"/>
          <w:sz w:val="26"/>
          <w:szCs w:val="26"/>
        </w:rPr>
        <w:t xml:space="preserve">statistics are even more stark. Of 252 total exonerations in the five boroughs since 1989, police officer misconduct contributed to 48% of them. A breakdown of the proportion of exonerations that included instances of police misconduct by borough is below.</w:t>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r>
      <w:r>
        <w:rPr>
          <w:rFonts w:ascii="Calibri" w:hAnsi="Calibri" w:eastAsia="Calibri" w:cs="Calibri"/>
          <w:sz w:val="26"/>
          <w:szCs w:val="26"/>
        </w:rPr>
      </w:r>
    </w:p>
    <w:tbl>
      <w:tblPr>
        <w:tblStyle w:val="934"/>
        <w:tblW w:w="96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412"/>
        <w:gridCol w:w="2412"/>
        <w:gridCol w:w="2412"/>
        <w:gridCol w:w="2412"/>
      </w:tblGrid>
      <w:tr>
        <w:trPr/>
        <w:tc>
          <w:tcPr>
            <w:shd w:val="clear" w:color="auto" w:fill="auto"/>
            <w:tcBorders/>
            <w:tcMar>
              <w:left w:w="100" w:type="dxa"/>
              <w:top w:w="100" w:type="dxa"/>
              <w:right w:w="100" w:type="dxa"/>
              <w:bottom w:w="100" w:type="dxa"/>
            </w:tcMar>
            <w:tcW w:w="2412"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line="240" w:lineRule="auto"/>
              <w:ind/>
              <w:rPr>
                <w:rFonts w:ascii="Calibri" w:hAnsi="Calibri" w:eastAsia="Calibri" w:cs="Calibri"/>
                <w:b/>
                <w:sz w:val="26"/>
                <w:szCs w:val="26"/>
              </w:rPr>
            </w:pPr>
            <w:r>
              <w:rPr>
                <w:rFonts w:ascii="Calibri" w:hAnsi="Calibri" w:eastAsia="Calibri" w:cs="Calibri"/>
                <w:b/>
                <w:sz w:val="26"/>
                <w:szCs w:val="26"/>
              </w:rPr>
              <w:t xml:space="preserve">Borough</w:t>
            </w:r>
            <w:r>
              <w:rPr>
                <w:rFonts w:ascii="Calibri" w:hAnsi="Calibri" w:eastAsia="Calibri" w:cs="Calibri"/>
                <w:b/>
                <w:sz w:val="26"/>
                <w:szCs w:val="26"/>
              </w:rPr>
            </w:r>
          </w:p>
        </w:tc>
        <w:tc>
          <w:tcPr>
            <w:shd w:val="clear" w:color="auto" w:fill="auto"/>
            <w:tcBorders/>
            <w:tcMar>
              <w:left w:w="100" w:type="dxa"/>
              <w:top w:w="100" w:type="dxa"/>
              <w:right w:w="100" w:type="dxa"/>
              <w:bottom w:w="100" w:type="dxa"/>
            </w:tcMar>
            <w:tcW w:w="2412"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line="240" w:lineRule="auto"/>
              <w:ind/>
              <w:rPr>
                <w:rFonts w:ascii="Calibri" w:hAnsi="Calibri" w:eastAsia="Calibri" w:cs="Calibri"/>
                <w:b/>
                <w:sz w:val="26"/>
                <w:szCs w:val="26"/>
              </w:rPr>
            </w:pPr>
            <w:r>
              <w:rPr>
                <w:rFonts w:ascii="Calibri" w:hAnsi="Calibri" w:eastAsia="Calibri" w:cs="Calibri"/>
                <w:b/>
                <w:sz w:val="26"/>
                <w:szCs w:val="26"/>
              </w:rPr>
              <w:t xml:space="preserve">Exonerations</w:t>
            </w:r>
            <w:r>
              <w:rPr>
                <w:rFonts w:ascii="Calibri" w:hAnsi="Calibri" w:eastAsia="Calibri" w:cs="Calibri"/>
                <w:b/>
                <w:sz w:val="26"/>
                <w:szCs w:val="26"/>
              </w:rPr>
            </w:r>
          </w:p>
        </w:tc>
        <w:tc>
          <w:tcPr>
            <w:shd w:val="clear" w:color="auto" w:fill="auto"/>
            <w:tcBorders/>
            <w:tcMar>
              <w:left w:w="100" w:type="dxa"/>
              <w:top w:w="100" w:type="dxa"/>
              <w:right w:w="100" w:type="dxa"/>
              <w:bottom w:w="100" w:type="dxa"/>
            </w:tcMar>
            <w:tcW w:w="2412"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line="240" w:lineRule="auto"/>
              <w:ind/>
              <w:rPr>
                <w:rFonts w:ascii="Calibri" w:hAnsi="Calibri" w:eastAsia="Calibri" w:cs="Calibri"/>
                <w:b/>
                <w:sz w:val="26"/>
                <w:szCs w:val="26"/>
              </w:rPr>
            </w:pPr>
            <w:r>
              <w:rPr>
                <w:rFonts w:ascii="Calibri" w:hAnsi="Calibri" w:eastAsia="Calibri" w:cs="Calibri"/>
                <w:b/>
                <w:sz w:val="26"/>
                <w:szCs w:val="26"/>
              </w:rPr>
              <w:t xml:space="preserve">Exonerations with </w:t>
            </w:r>
            <w:r>
              <w:rPr>
                <w:rFonts w:ascii="Calibri" w:hAnsi="Calibri" w:eastAsia="Calibri" w:cs="Calibri"/>
                <w:b/>
                <w:sz w:val="26"/>
                <w:szCs w:val="26"/>
              </w:rPr>
              <w:t xml:space="preserve">police misconduct</w:t>
            </w:r>
            <w:r>
              <w:rPr>
                <w:rFonts w:ascii="Calibri" w:hAnsi="Calibri" w:eastAsia="Calibri" w:cs="Calibri"/>
                <w:b/>
                <w:sz w:val="26"/>
                <w:szCs w:val="26"/>
              </w:rPr>
            </w:r>
          </w:p>
        </w:tc>
        <w:tc>
          <w:tcPr>
            <w:shd w:val="clear" w:color="auto" w:fill="auto"/>
            <w:tcBorders/>
            <w:tcMar>
              <w:left w:w="100" w:type="dxa"/>
              <w:top w:w="100" w:type="dxa"/>
              <w:right w:w="100" w:type="dxa"/>
              <w:bottom w:w="100" w:type="dxa"/>
            </w:tcMar>
            <w:tcW w:w="2412"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line="240" w:lineRule="auto"/>
              <w:ind/>
              <w:rPr>
                <w:rFonts w:ascii="Calibri" w:hAnsi="Calibri" w:eastAsia="Calibri" w:cs="Calibri"/>
                <w:b/>
                <w:sz w:val="26"/>
                <w:szCs w:val="26"/>
              </w:rPr>
            </w:pPr>
            <w:r>
              <w:rPr>
                <w:rFonts w:ascii="Calibri" w:hAnsi="Calibri" w:eastAsia="Calibri" w:cs="Calibri"/>
                <w:b/>
                <w:sz w:val="26"/>
                <w:szCs w:val="26"/>
              </w:rPr>
              <w:t xml:space="preserve">Percentage</w:t>
            </w:r>
            <w:r>
              <w:rPr>
                <w:rFonts w:ascii="Calibri" w:hAnsi="Calibri" w:eastAsia="Calibri" w:cs="Calibri"/>
                <w:b/>
                <w:sz w:val="26"/>
                <w:szCs w:val="26"/>
              </w:rPr>
            </w:r>
          </w:p>
        </w:tc>
      </w:tr>
      <w:tr>
        <w:trPr/>
        <w:tc>
          <w:tcPr>
            <w:shd w:val="clear" w:color="auto" w:fill="auto"/>
            <w:tcBorders/>
            <w:tcMar>
              <w:left w:w="100" w:type="dxa"/>
              <w:top w:w="100" w:type="dxa"/>
              <w:right w:w="100" w:type="dxa"/>
              <w:bottom w:w="100" w:type="dxa"/>
            </w:tcMar>
            <w:tcW w:w="2412"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line="240" w:lineRule="auto"/>
              <w:ind/>
              <w:rPr>
                <w:rFonts w:ascii="Calibri" w:hAnsi="Calibri" w:eastAsia="Calibri" w:cs="Calibri"/>
                <w:sz w:val="26"/>
                <w:szCs w:val="26"/>
              </w:rPr>
            </w:pPr>
            <w:r>
              <w:rPr>
                <w:rFonts w:ascii="Calibri" w:hAnsi="Calibri" w:eastAsia="Calibri" w:cs="Calibri"/>
                <w:sz w:val="26"/>
                <w:szCs w:val="26"/>
              </w:rPr>
              <w:t xml:space="preserve">The Bronx</w:t>
            </w:r>
            <w:r>
              <w:rPr>
                <w:rFonts w:ascii="Calibri" w:hAnsi="Calibri" w:eastAsia="Calibri" w:cs="Calibri"/>
                <w:sz w:val="26"/>
                <w:szCs w:val="26"/>
              </w:rPr>
            </w:r>
          </w:p>
        </w:tc>
        <w:tc>
          <w:tcPr>
            <w:shd w:val="clear" w:color="auto" w:fill="auto"/>
            <w:tcBorders/>
            <w:tcMar>
              <w:left w:w="100" w:type="dxa"/>
              <w:top w:w="100" w:type="dxa"/>
              <w:right w:w="100" w:type="dxa"/>
              <w:bottom w:w="100" w:type="dxa"/>
            </w:tcMar>
            <w:tcW w:w="2412"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line="240" w:lineRule="auto"/>
              <w:ind/>
              <w:rPr>
                <w:rFonts w:ascii="Calibri" w:hAnsi="Calibri" w:eastAsia="Calibri" w:cs="Calibri"/>
                <w:sz w:val="26"/>
                <w:szCs w:val="26"/>
              </w:rPr>
            </w:pPr>
            <w:r>
              <w:rPr>
                <w:rFonts w:ascii="Calibri" w:hAnsi="Calibri" w:eastAsia="Calibri" w:cs="Calibri"/>
                <w:sz w:val="26"/>
                <w:szCs w:val="26"/>
              </w:rPr>
              <w:t xml:space="preserve">54</w:t>
            </w:r>
            <w:r>
              <w:rPr>
                <w:rFonts w:ascii="Calibri" w:hAnsi="Calibri" w:eastAsia="Calibri" w:cs="Calibri"/>
                <w:sz w:val="26"/>
                <w:szCs w:val="26"/>
              </w:rPr>
            </w:r>
          </w:p>
        </w:tc>
        <w:tc>
          <w:tcPr>
            <w:shd w:val="clear" w:color="auto" w:fill="auto"/>
            <w:tcBorders/>
            <w:tcMar>
              <w:left w:w="100" w:type="dxa"/>
              <w:top w:w="100" w:type="dxa"/>
              <w:right w:w="100" w:type="dxa"/>
              <w:bottom w:w="100" w:type="dxa"/>
            </w:tcMar>
            <w:tcW w:w="2412"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line="240" w:lineRule="auto"/>
              <w:ind/>
              <w:rPr>
                <w:rFonts w:ascii="Calibri" w:hAnsi="Calibri" w:eastAsia="Calibri" w:cs="Calibri"/>
                <w:sz w:val="26"/>
                <w:szCs w:val="26"/>
              </w:rPr>
            </w:pPr>
            <w:r>
              <w:rPr>
                <w:rFonts w:ascii="Calibri" w:hAnsi="Calibri" w:eastAsia="Calibri" w:cs="Calibri"/>
                <w:sz w:val="26"/>
                <w:szCs w:val="26"/>
              </w:rPr>
              <w:t xml:space="preserve">18</w:t>
            </w:r>
            <w:r>
              <w:rPr>
                <w:rFonts w:ascii="Calibri" w:hAnsi="Calibri" w:eastAsia="Calibri" w:cs="Calibri"/>
                <w:sz w:val="26"/>
                <w:szCs w:val="26"/>
              </w:rPr>
            </w:r>
          </w:p>
        </w:tc>
        <w:tc>
          <w:tcPr>
            <w:shd w:val="clear" w:color="auto" w:fill="auto"/>
            <w:tcBorders/>
            <w:tcMar>
              <w:left w:w="100" w:type="dxa"/>
              <w:top w:w="100" w:type="dxa"/>
              <w:right w:w="100" w:type="dxa"/>
              <w:bottom w:w="100" w:type="dxa"/>
            </w:tcMar>
            <w:tcW w:w="2412"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line="240" w:lineRule="auto"/>
              <w:ind/>
              <w:rPr>
                <w:rFonts w:ascii="Calibri" w:hAnsi="Calibri" w:eastAsia="Calibri" w:cs="Calibri"/>
                <w:sz w:val="26"/>
                <w:szCs w:val="26"/>
              </w:rPr>
            </w:pPr>
            <w:r>
              <w:rPr>
                <w:rFonts w:ascii="Calibri" w:hAnsi="Calibri" w:eastAsia="Calibri" w:cs="Calibri"/>
                <w:sz w:val="26"/>
                <w:szCs w:val="26"/>
              </w:rPr>
              <w:t xml:space="preserve">33.3%</w:t>
            </w:r>
            <w:r>
              <w:rPr>
                <w:rFonts w:ascii="Calibri" w:hAnsi="Calibri" w:eastAsia="Calibri" w:cs="Calibri"/>
                <w:sz w:val="26"/>
                <w:szCs w:val="26"/>
              </w:rPr>
            </w:r>
          </w:p>
        </w:tc>
      </w:tr>
      <w:tr>
        <w:trPr/>
        <w:tc>
          <w:tcPr>
            <w:shd w:val="clear" w:color="auto" w:fill="auto"/>
            <w:tcBorders/>
            <w:tcMar>
              <w:left w:w="100" w:type="dxa"/>
              <w:top w:w="100" w:type="dxa"/>
              <w:right w:w="100" w:type="dxa"/>
              <w:bottom w:w="100" w:type="dxa"/>
            </w:tcMar>
            <w:tcW w:w="2412"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line="240" w:lineRule="auto"/>
              <w:ind/>
              <w:rPr>
                <w:rFonts w:ascii="Calibri" w:hAnsi="Calibri" w:eastAsia="Calibri" w:cs="Calibri"/>
                <w:sz w:val="26"/>
                <w:szCs w:val="26"/>
              </w:rPr>
            </w:pPr>
            <w:r>
              <w:rPr>
                <w:rFonts w:ascii="Calibri" w:hAnsi="Calibri" w:eastAsia="Calibri" w:cs="Calibri"/>
                <w:sz w:val="26"/>
                <w:szCs w:val="26"/>
              </w:rPr>
              <w:t xml:space="preserve">Kings</w:t>
            </w:r>
            <w:r>
              <w:rPr>
                <w:rFonts w:ascii="Calibri" w:hAnsi="Calibri" w:eastAsia="Calibri" w:cs="Calibri"/>
                <w:sz w:val="26"/>
                <w:szCs w:val="26"/>
              </w:rPr>
            </w:r>
          </w:p>
        </w:tc>
        <w:tc>
          <w:tcPr>
            <w:shd w:val="clear" w:color="auto" w:fill="auto"/>
            <w:tcBorders/>
            <w:tcMar>
              <w:left w:w="100" w:type="dxa"/>
              <w:top w:w="100" w:type="dxa"/>
              <w:right w:w="100" w:type="dxa"/>
              <w:bottom w:w="100" w:type="dxa"/>
            </w:tcMar>
            <w:tcW w:w="2412"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line="240" w:lineRule="auto"/>
              <w:ind/>
              <w:rPr>
                <w:rFonts w:ascii="Calibri" w:hAnsi="Calibri" w:eastAsia="Calibri" w:cs="Calibri"/>
                <w:sz w:val="26"/>
                <w:szCs w:val="26"/>
              </w:rPr>
            </w:pPr>
            <w:r>
              <w:rPr>
                <w:rFonts w:ascii="Calibri" w:hAnsi="Calibri" w:eastAsia="Calibri" w:cs="Calibri"/>
                <w:sz w:val="26"/>
                <w:szCs w:val="26"/>
              </w:rPr>
              <w:t xml:space="preserve">95</w:t>
            </w:r>
            <w:r>
              <w:rPr>
                <w:rFonts w:ascii="Calibri" w:hAnsi="Calibri" w:eastAsia="Calibri" w:cs="Calibri"/>
                <w:sz w:val="26"/>
                <w:szCs w:val="26"/>
              </w:rPr>
            </w:r>
          </w:p>
        </w:tc>
        <w:tc>
          <w:tcPr>
            <w:shd w:val="clear" w:color="auto" w:fill="auto"/>
            <w:tcBorders/>
            <w:tcMar>
              <w:left w:w="100" w:type="dxa"/>
              <w:top w:w="100" w:type="dxa"/>
              <w:right w:w="100" w:type="dxa"/>
              <w:bottom w:w="100" w:type="dxa"/>
            </w:tcMar>
            <w:tcW w:w="2412"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line="240" w:lineRule="auto"/>
              <w:ind/>
              <w:rPr>
                <w:rFonts w:ascii="Calibri" w:hAnsi="Calibri" w:eastAsia="Calibri" w:cs="Calibri"/>
                <w:sz w:val="26"/>
                <w:szCs w:val="26"/>
              </w:rPr>
            </w:pPr>
            <w:r>
              <w:rPr>
                <w:rFonts w:ascii="Calibri" w:hAnsi="Calibri" w:eastAsia="Calibri" w:cs="Calibri"/>
                <w:sz w:val="26"/>
                <w:szCs w:val="26"/>
              </w:rPr>
              <w:t xml:space="preserve">57</w:t>
            </w:r>
            <w:r>
              <w:rPr>
                <w:rFonts w:ascii="Calibri" w:hAnsi="Calibri" w:eastAsia="Calibri" w:cs="Calibri"/>
                <w:sz w:val="26"/>
                <w:szCs w:val="26"/>
              </w:rPr>
            </w:r>
          </w:p>
        </w:tc>
        <w:tc>
          <w:tcPr>
            <w:shd w:val="clear" w:color="auto" w:fill="auto"/>
            <w:tcBorders/>
            <w:tcMar>
              <w:left w:w="100" w:type="dxa"/>
              <w:top w:w="100" w:type="dxa"/>
              <w:right w:w="100" w:type="dxa"/>
              <w:bottom w:w="100" w:type="dxa"/>
            </w:tcMar>
            <w:tcW w:w="2412"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line="240" w:lineRule="auto"/>
              <w:ind/>
              <w:rPr>
                <w:rFonts w:ascii="Calibri" w:hAnsi="Calibri" w:eastAsia="Calibri" w:cs="Calibri"/>
                <w:sz w:val="26"/>
                <w:szCs w:val="26"/>
              </w:rPr>
            </w:pPr>
            <w:r>
              <w:rPr>
                <w:rFonts w:ascii="Calibri" w:hAnsi="Calibri" w:eastAsia="Calibri" w:cs="Calibri"/>
                <w:sz w:val="26"/>
                <w:szCs w:val="26"/>
              </w:rPr>
              <w:t xml:space="preserve">60%</w:t>
            </w:r>
            <w:r>
              <w:rPr>
                <w:rFonts w:ascii="Calibri" w:hAnsi="Calibri" w:eastAsia="Calibri" w:cs="Calibri"/>
                <w:sz w:val="26"/>
                <w:szCs w:val="26"/>
              </w:rPr>
            </w:r>
          </w:p>
        </w:tc>
      </w:tr>
      <w:tr>
        <w:trPr/>
        <w:tc>
          <w:tcPr>
            <w:shd w:val="clear" w:color="auto" w:fill="auto"/>
            <w:tcBorders/>
            <w:tcMar>
              <w:left w:w="100" w:type="dxa"/>
              <w:top w:w="100" w:type="dxa"/>
              <w:right w:w="100" w:type="dxa"/>
              <w:bottom w:w="100" w:type="dxa"/>
            </w:tcMar>
            <w:tcW w:w="2412"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line="240" w:lineRule="auto"/>
              <w:ind/>
              <w:rPr>
                <w:rFonts w:ascii="Calibri" w:hAnsi="Calibri" w:eastAsia="Calibri" w:cs="Calibri"/>
                <w:sz w:val="26"/>
                <w:szCs w:val="26"/>
              </w:rPr>
            </w:pPr>
            <w:r>
              <w:rPr>
                <w:rFonts w:ascii="Calibri" w:hAnsi="Calibri" w:eastAsia="Calibri" w:cs="Calibri"/>
                <w:sz w:val="26"/>
                <w:szCs w:val="26"/>
              </w:rPr>
              <w:t xml:space="preserve">New York</w:t>
            </w:r>
            <w:r>
              <w:rPr>
                <w:rFonts w:ascii="Calibri" w:hAnsi="Calibri" w:eastAsia="Calibri" w:cs="Calibri"/>
                <w:sz w:val="26"/>
                <w:szCs w:val="26"/>
              </w:rPr>
            </w:r>
          </w:p>
        </w:tc>
        <w:tc>
          <w:tcPr>
            <w:shd w:val="clear" w:color="auto" w:fill="auto"/>
            <w:tcBorders/>
            <w:tcMar>
              <w:left w:w="100" w:type="dxa"/>
              <w:top w:w="100" w:type="dxa"/>
              <w:right w:w="100" w:type="dxa"/>
              <w:bottom w:w="100" w:type="dxa"/>
            </w:tcMar>
            <w:tcW w:w="2412"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line="240" w:lineRule="auto"/>
              <w:ind/>
              <w:rPr>
                <w:rFonts w:ascii="Calibri" w:hAnsi="Calibri" w:eastAsia="Calibri" w:cs="Calibri"/>
                <w:sz w:val="26"/>
                <w:szCs w:val="26"/>
              </w:rPr>
            </w:pPr>
            <w:r>
              <w:rPr>
                <w:rFonts w:ascii="Calibri" w:hAnsi="Calibri" w:eastAsia="Calibri" w:cs="Calibri"/>
                <w:sz w:val="26"/>
                <w:szCs w:val="26"/>
              </w:rPr>
              <w:t xml:space="preserve">53</w:t>
            </w:r>
            <w:r>
              <w:rPr>
                <w:rFonts w:ascii="Calibri" w:hAnsi="Calibri" w:eastAsia="Calibri" w:cs="Calibri"/>
                <w:sz w:val="26"/>
                <w:szCs w:val="26"/>
              </w:rPr>
            </w:r>
          </w:p>
        </w:tc>
        <w:tc>
          <w:tcPr>
            <w:shd w:val="clear" w:color="auto" w:fill="auto"/>
            <w:tcBorders/>
            <w:tcMar>
              <w:left w:w="100" w:type="dxa"/>
              <w:top w:w="100" w:type="dxa"/>
              <w:right w:w="100" w:type="dxa"/>
              <w:bottom w:w="100" w:type="dxa"/>
            </w:tcMar>
            <w:tcW w:w="2412"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line="240" w:lineRule="auto"/>
              <w:ind/>
              <w:rPr>
                <w:rFonts w:ascii="Calibri" w:hAnsi="Calibri" w:eastAsia="Calibri" w:cs="Calibri"/>
                <w:sz w:val="26"/>
                <w:szCs w:val="26"/>
              </w:rPr>
            </w:pPr>
            <w:r>
              <w:rPr>
                <w:rFonts w:ascii="Calibri" w:hAnsi="Calibri" w:eastAsia="Calibri" w:cs="Calibri"/>
                <w:sz w:val="26"/>
                <w:szCs w:val="26"/>
              </w:rPr>
              <w:t xml:space="preserve">25</w:t>
            </w:r>
            <w:r>
              <w:rPr>
                <w:rFonts w:ascii="Calibri" w:hAnsi="Calibri" w:eastAsia="Calibri" w:cs="Calibri"/>
                <w:sz w:val="26"/>
                <w:szCs w:val="26"/>
              </w:rPr>
            </w:r>
          </w:p>
        </w:tc>
        <w:tc>
          <w:tcPr>
            <w:shd w:val="clear" w:color="auto" w:fill="auto"/>
            <w:tcBorders/>
            <w:tcMar>
              <w:left w:w="100" w:type="dxa"/>
              <w:top w:w="100" w:type="dxa"/>
              <w:right w:w="100" w:type="dxa"/>
              <w:bottom w:w="100" w:type="dxa"/>
            </w:tcMar>
            <w:tcW w:w="2412"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line="240" w:lineRule="auto"/>
              <w:ind/>
              <w:rPr>
                <w:rFonts w:ascii="Calibri" w:hAnsi="Calibri" w:eastAsia="Calibri" w:cs="Calibri"/>
                <w:sz w:val="26"/>
                <w:szCs w:val="26"/>
              </w:rPr>
            </w:pPr>
            <w:r>
              <w:rPr>
                <w:rFonts w:ascii="Calibri" w:hAnsi="Calibri" w:eastAsia="Calibri" w:cs="Calibri"/>
                <w:sz w:val="26"/>
                <w:szCs w:val="26"/>
              </w:rPr>
              <w:t xml:space="preserve">47.2%</w:t>
            </w:r>
            <w:r>
              <w:rPr>
                <w:rFonts w:ascii="Calibri" w:hAnsi="Calibri" w:eastAsia="Calibri" w:cs="Calibri"/>
                <w:sz w:val="26"/>
                <w:szCs w:val="26"/>
              </w:rPr>
            </w:r>
          </w:p>
        </w:tc>
      </w:tr>
      <w:tr>
        <w:trPr/>
        <w:tc>
          <w:tcPr>
            <w:shd w:val="clear" w:color="auto" w:fill="auto"/>
            <w:tcBorders/>
            <w:tcMar>
              <w:left w:w="100" w:type="dxa"/>
              <w:top w:w="100" w:type="dxa"/>
              <w:right w:w="100" w:type="dxa"/>
              <w:bottom w:w="100" w:type="dxa"/>
            </w:tcMar>
            <w:tcW w:w="2412"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line="240" w:lineRule="auto"/>
              <w:ind/>
              <w:rPr>
                <w:rFonts w:ascii="Calibri" w:hAnsi="Calibri" w:eastAsia="Calibri" w:cs="Calibri"/>
                <w:sz w:val="26"/>
                <w:szCs w:val="26"/>
              </w:rPr>
            </w:pPr>
            <w:r>
              <w:rPr>
                <w:rFonts w:ascii="Calibri" w:hAnsi="Calibri" w:eastAsia="Calibri" w:cs="Calibri"/>
                <w:sz w:val="26"/>
                <w:szCs w:val="26"/>
              </w:rPr>
              <w:t xml:space="preserve">Queens</w:t>
            </w:r>
            <w:r>
              <w:rPr>
                <w:rFonts w:ascii="Calibri" w:hAnsi="Calibri" w:eastAsia="Calibri" w:cs="Calibri"/>
                <w:sz w:val="26"/>
                <w:szCs w:val="26"/>
              </w:rPr>
            </w:r>
          </w:p>
        </w:tc>
        <w:tc>
          <w:tcPr>
            <w:shd w:val="clear" w:color="auto" w:fill="auto"/>
            <w:tcBorders/>
            <w:tcMar>
              <w:left w:w="100" w:type="dxa"/>
              <w:top w:w="100" w:type="dxa"/>
              <w:right w:w="100" w:type="dxa"/>
              <w:bottom w:w="100" w:type="dxa"/>
            </w:tcMar>
            <w:tcW w:w="2412"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line="240" w:lineRule="auto"/>
              <w:ind/>
              <w:rPr>
                <w:rFonts w:ascii="Calibri" w:hAnsi="Calibri" w:eastAsia="Calibri" w:cs="Calibri"/>
                <w:sz w:val="26"/>
                <w:szCs w:val="26"/>
              </w:rPr>
            </w:pPr>
            <w:r>
              <w:rPr>
                <w:rFonts w:ascii="Calibri" w:hAnsi="Calibri" w:eastAsia="Calibri" w:cs="Calibri"/>
                <w:sz w:val="26"/>
                <w:szCs w:val="26"/>
              </w:rPr>
              <w:t xml:space="preserve">47</w:t>
            </w:r>
            <w:r>
              <w:rPr>
                <w:rFonts w:ascii="Calibri" w:hAnsi="Calibri" w:eastAsia="Calibri" w:cs="Calibri"/>
                <w:sz w:val="26"/>
                <w:szCs w:val="26"/>
              </w:rPr>
            </w:r>
          </w:p>
        </w:tc>
        <w:tc>
          <w:tcPr>
            <w:shd w:val="clear" w:color="auto" w:fill="auto"/>
            <w:tcBorders/>
            <w:tcMar>
              <w:left w:w="100" w:type="dxa"/>
              <w:top w:w="100" w:type="dxa"/>
              <w:right w:w="100" w:type="dxa"/>
              <w:bottom w:w="100" w:type="dxa"/>
            </w:tcMar>
            <w:tcW w:w="2412"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line="240" w:lineRule="auto"/>
              <w:ind/>
              <w:rPr>
                <w:rFonts w:ascii="Calibri" w:hAnsi="Calibri" w:eastAsia="Calibri" w:cs="Calibri"/>
                <w:sz w:val="26"/>
                <w:szCs w:val="26"/>
              </w:rPr>
            </w:pPr>
            <w:r>
              <w:rPr>
                <w:rFonts w:ascii="Calibri" w:hAnsi="Calibri" w:eastAsia="Calibri" w:cs="Calibri"/>
                <w:sz w:val="26"/>
                <w:szCs w:val="26"/>
              </w:rPr>
              <w:t xml:space="preserve">19</w:t>
            </w:r>
            <w:r>
              <w:rPr>
                <w:rFonts w:ascii="Calibri" w:hAnsi="Calibri" w:eastAsia="Calibri" w:cs="Calibri"/>
                <w:sz w:val="26"/>
                <w:szCs w:val="26"/>
              </w:rPr>
            </w:r>
          </w:p>
        </w:tc>
        <w:tc>
          <w:tcPr>
            <w:shd w:val="clear" w:color="auto" w:fill="auto"/>
            <w:tcBorders/>
            <w:tcMar>
              <w:left w:w="100" w:type="dxa"/>
              <w:top w:w="100" w:type="dxa"/>
              <w:right w:w="100" w:type="dxa"/>
              <w:bottom w:w="100" w:type="dxa"/>
            </w:tcMar>
            <w:tcW w:w="2412"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line="240" w:lineRule="auto"/>
              <w:ind/>
              <w:rPr>
                <w:rFonts w:ascii="Calibri" w:hAnsi="Calibri" w:eastAsia="Calibri" w:cs="Calibri"/>
                <w:sz w:val="26"/>
                <w:szCs w:val="26"/>
              </w:rPr>
            </w:pPr>
            <w:r>
              <w:rPr>
                <w:rFonts w:ascii="Calibri" w:hAnsi="Calibri" w:eastAsia="Calibri" w:cs="Calibri"/>
                <w:sz w:val="26"/>
                <w:szCs w:val="26"/>
              </w:rPr>
              <w:t xml:space="preserve">40.4%</w:t>
            </w:r>
            <w:r>
              <w:rPr>
                <w:rFonts w:ascii="Calibri" w:hAnsi="Calibri" w:eastAsia="Calibri" w:cs="Calibri"/>
                <w:sz w:val="26"/>
                <w:szCs w:val="26"/>
              </w:rPr>
            </w:r>
          </w:p>
        </w:tc>
      </w:tr>
      <w:tr>
        <w:trPr/>
        <w:tc>
          <w:tcPr>
            <w:shd w:val="clear" w:color="auto" w:fill="auto"/>
            <w:tcBorders/>
            <w:tcMar>
              <w:left w:w="100" w:type="dxa"/>
              <w:top w:w="100" w:type="dxa"/>
              <w:right w:w="100" w:type="dxa"/>
              <w:bottom w:w="100" w:type="dxa"/>
            </w:tcMar>
            <w:tcW w:w="2412"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line="240" w:lineRule="auto"/>
              <w:ind/>
              <w:rPr>
                <w:rFonts w:ascii="Calibri" w:hAnsi="Calibri" w:eastAsia="Calibri" w:cs="Calibri"/>
                <w:sz w:val="26"/>
                <w:szCs w:val="26"/>
              </w:rPr>
            </w:pPr>
            <w:r>
              <w:rPr>
                <w:rFonts w:ascii="Calibri" w:hAnsi="Calibri" w:eastAsia="Calibri" w:cs="Calibri"/>
                <w:sz w:val="26"/>
                <w:szCs w:val="26"/>
              </w:rPr>
              <w:t xml:space="preserve">Staten Island</w:t>
            </w:r>
            <w:r>
              <w:rPr>
                <w:rFonts w:ascii="Calibri" w:hAnsi="Calibri" w:eastAsia="Calibri" w:cs="Calibri"/>
                <w:sz w:val="26"/>
                <w:szCs w:val="26"/>
              </w:rPr>
            </w:r>
          </w:p>
        </w:tc>
        <w:tc>
          <w:tcPr>
            <w:shd w:val="clear" w:color="auto" w:fill="auto"/>
            <w:tcBorders/>
            <w:tcMar>
              <w:left w:w="100" w:type="dxa"/>
              <w:top w:w="100" w:type="dxa"/>
              <w:right w:w="100" w:type="dxa"/>
              <w:bottom w:w="100" w:type="dxa"/>
            </w:tcMar>
            <w:tcW w:w="2412"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line="240" w:lineRule="auto"/>
              <w:ind/>
              <w:rPr>
                <w:rFonts w:ascii="Calibri" w:hAnsi="Calibri" w:eastAsia="Calibri" w:cs="Calibri"/>
                <w:sz w:val="26"/>
                <w:szCs w:val="26"/>
              </w:rPr>
            </w:pPr>
            <w:r>
              <w:rPr>
                <w:rFonts w:ascii="Calibri" w:hAnsi="Calibri" w:eastAsia="Calibri" w:cs="Calibri"/>
                <w:sz w:val="26"/>
                <w:szCs w:val="26"/>
              </w:rPr>
              <w:t xml:space="preserve">3</w:t>
            </w:r>
            <w:r>
              <w:rPr>
                <w:rFonts w:ascii="Calibri" w:hAnsi="Calibri" w:eastAsia="Calibri" w:cs="Calibri"/>
                <w:sz w:val="26"/>
                <w:szCs w:val="26"/>
              </w:rPr>
            </w:r>
          </w:p>
        </w:tc>
        <w:tc>
          <w:tcPr>
            <w:shd w:val="clear" w:color="auto" w:fill="auto"/>
            <w:tcBorders/>
            <w:tcMar>
              <w:left w:w="100" w:type="dxa"/>
              <w:top w:w="100" w:type="dxa"/>
              <w:right w:w="100" w:type="dxa"/>
              <w:bottom w:w="100" w:type="dxa"/>
            </w:tcMar>
            <w:tcW w:w="2412"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line="240" w:lineRule="auto"/>
              <w:ind/>
              <w:rPr>
                <w:rFonts w:ascii="Calibri" w:hAnsi="Calibri" w:eastAsia="Calibri" w:cs="Calibri"/>
                <w:sz w:val="26"/>
                <w:szCs w:val="26"/>
              </w:rPr>
            </w:pPr>
            <w:r>
              <w:rPr>
                <w:rFonts w:ascii="Calibri" w:hAnsi="Calibri" w:eastAsia="Calibri" w:cs="Calibri"/>
                <w:sz w:val="26"/>
                <w:szCs w:val="26"/>
              </w:rPr>
              <w:t xml:space="preserve">2</w:t>
            </w:r>
            <w:r>
              <w:rPr>
                <w:rFonts w:ascii="Calibri" w:hAnsi="Calibri" w:eastAsia="Calibri" w:cs="Calibri"/>
                <w:sz w:val="26"/>
                <w:szCs w:val="26"/>
              </w:rPr>
            </w:r>
          </w:p>
        </w:tc>
        <w:tc>
          <w:tcPr>
            <w:shd w:val="clear" w:color="auto" w:fill="auto"/>
            <w:tcBorders/>
            <w:tcMar>
              <w:left w:w="100" w:type="dxa"/>
              <w:top w:w="100" w:type="dxa"/>
              <w:right w:w="100" w:type="dxa"/>
              <w:bottom w:w="100" w:type="dxa"/>
            </w:tcMar>
            <w:tcW w:w="2412"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line="240" w:lineRule="auto"/>
              <w:ind/>
              <w:rPr>
                <w:rFonts w:ascii="Calibri" w:hAnsi="Calibri" w:eastAsia="Calibri" w:cs="Calibri"/>
                <w:sz w:val="26"/>
                <w:szCs w:val="26"/>
              </w:rPr>
            </w:pPr>
            <w:r>
              <w:rPr>
                <w:rFonts w:ascii="Calibri" w:hAnsi="Calibri" w:eastAsia="Calibri" w:cs="Calibri"/>
                <w:sz w:val="26"/>
                <w:szCs w:val="26"/>
              </w:rPr>
              <w:t xml:space="preserve">66.7%</w:t>
            </w:r>
            <w:r>
              <w:rPr>
                <w:rFonts w:ascii="Calibri" w:hAnsi="Calibri" w:eastAsia="Calibri" w:cs="Calibri"/>
                <w:sz w:val="26"/>
                <w:szCs w:val="26"/>
              </w:rPr>
            </w:r>
          </w:p>
        </w:tc>
      </w:tr>
      <w:tr>
        <w:trPr/>
        <w:tc>
          <w:tcPr>
            <w:shd w:val="clear" w:color="auto" w:fill="auto"/>
            <w:tcBorders/>
            <w:tcMar>
              <w:left w:w="100" w:type="dxa"/>
              <w:top w:w="100" w:type="dxa"/>
              <w:right w:w="100" w:type="dxa"/>
              <w:bottom w:w="100" w:type="dxa"/>
            </w:tcMar>
            <w:tcW w:w="2412"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line="240" w:lineRule="auto"/>
              <w:ind/>
              <w:rPr>
                <w:rFonts w:ascii="Calibri" w:hAnsi="Calibri" w:eastAsia="Calibri" w:cs="Calibri"/>
                <w:b/>
                <w:sz w:val="26"/>
                <w:szCs w:val="26"/>
              </w:rPr>
            </w:pPr>
            <w:r>
              <w:rPr>
                <w:rFonts w:ascii="Calibri" w:hAnsi="Calibri" w:eastAsia="Calibri" w:cs="Calibri"/>
                <w:b/>
                <w:sz w:val="26"/>
                <w:szCs w:val="26"/>
              </w:rPr>
              <w:t xml:space="preserve">Total</w:t>
            </w:r>
            <w:r>
              <w:rPr>
                <w:rFonts w:ascii="Calibri" w:hAnsi="Calibri" w:eastAsia="Calibri" w:cs="Calibri"/>
                <w:b/>
                <w:sz w:val="26"/>
                <w:szCs w:val="26"/>
              </w:rPr>
            </w:r>
          </w:p>
        </w:tc>
        <w:tc>
          <w:tcPr>
            <w:shd w:val="clear" w:color="auto" w:fill="auto"/>
            <w:tcBorders/>
            <w:tcMar>
              <w:left w:w="100" w:type="dxa"/>
              <w:top w:w="100" w:type="dxa"/>
              <w:right w:w="100" w:type="dxa"/>
              <w:bottom w:w="100" w:type="dxa"/>
            </w:tcMar>
            <w:tcW w:w="2412"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line="240" w:lineRule="auto"/>
              <w:ind/>
              <w:rPr>
                <w:rFonts w:ascii="Calibri" w:hAnsi="Calibri" w:eastAsia="Calibri" w:cs="Calibri"/>
                <w:b/>
                <w:sz w:val="26"/>
                <w:szCs w:val="26"/>
              </w:rPr>
            </w:pPr>
            <w:r>
              <w:rPr>
                <w:rFonts w:ascii="Calibri" w:hAnsi="Calibri" w:eastAsia="Calibri" w:cs="Calibri"/>
                <w:b/>
                <w:sz w:val="26"/>
                <w:szCs w:val="26"/>
              </w:rPr>
              <w:t xml:space="preserve">252</w:t>
            </w:r>
            <w:r>
              <w:rPr>
                <w:rFonts w:ascii="Calibri" w:hAnsi="Calibri" w:eastAsia="Calibri" w:cs="Calibri"/>
                <w:b/>
                <w:sz w:val="26"/>
                <w:szCs w:val="26"/>
              </w:rPr>
            </w:r>
          </w:p>
        </w:tc>
        <w:tc>
          <w:tcPr>
            <w:shd w:val="clear" w:color="auto" w:fill="auto"/>
            <w:tcBorders/>
            <w:tcMar>
              <w:left w:w="100" w:type="dxa"/>
              <w:top w:w="100" w:type="dxa"/>
              <w:right w:w="100" w:type="dxa"/>
              <w:bottom w:w="100" w:type="dxa"/>
            </w:tcMar>
            <w:tcW w:w="2412"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line="240" w:lineRule="auto"/>
              <w:ind/>
              <w:rPr>
                <w:rFonts w:ascii="Calibri" w:hAnsi="Calibri" w:eastAsia="Calibri" w:cs="Calibri"/>
                <w:b/>
                <w:sz w:val="26"/>
                <w:szCs w:val="26"/>
              </w:rPr>
            </w:pPr>
            <w:r>
              <w:rPr>
                <w:rFonts w:ascii="Calibri" w:hAnsi="Calibri" w:eastAsia="Calibri" w:cs="Calibri"/>
                <w:b/>
                <w:sz w:val="26"/>
                <w:szCs w:val="26"/>
              </w:rPr>
              <w:t xml:space="preserve">121</w:t>
            </w:r>
            <w:r>
              <w:rPr>
                <w:rFonts w:ascii="Calibri" w:hAnsi="Calibri" w:eastAsia="Calibri" w:cs="Calibri"/>
                <w:b/>
                <w:sz w:val="26"/>
                <w:szCs w:val="26"/>
              </w:rPr>
            </w:r>
          </w:p>
        </w:tc>
        <w:tc>
          <w:tcPr>
            <w:shd w:val="clear" w:color="auto" w:fill="auto"/>
            <w:tcBorders/>
            <w:tcMar>
              <w:left w:w="100" w:type="dxa"/>
              <w:top w:w="100" w:type="dxa"/>
              <w:right w:w="100" w:type="dxa"/>
              <w:bottom w:w="100" w:type="dxa"/>
            </w:tcMar>
            <w:tcW w:w="2412"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line="240" w:lineRule="auto"/>
              <w:ind/>
              <w:rPr>
                <w:rFonts w:ascii="Calibri" w:hAnsi="Calibri" w:eastAsia="Calibri" w:cs="Calibri"/>
                <w:b/>
                <w:sz w:val="26"/>
                <w:szCs w:val="26"/>
              </w:rPr>
            </w:pPr>
            <w:r>
              <w:rPr>
                <w:rFonts w:ascii="Calibri" w:hAnsi="Calibri" w:eastAsia="Calibri" w:cs="Calibri"/>
                <w:b/>
                <w:sz w:val="26"/>
                <w:szCs w:val="26"/>
              </w:rPr>
              <w:t xml:space="preserve">48%</w:t>
            </w:r>
            <w:r>
              <w:rPr>
                <w:rFonts w:ascii="Calibri" w:hAnsi="Calibri" w:eastAsia="Calibri" w:cs="Calibri"/>
                <w:b/>
                <w:sz w:val="26"/>
                <w:szCs w:val="26"/>
              </w:rPr>
            </w:r>
          </w:p>
        </w:tc>
      </w:tr>
    </w:tbl>
    <w:p>
      <w:pPr>
        <w:pBdr/>
        <w:spacing/>
        <w:ind/>
        <w:rPr>
          <w:rFonts w:ascii="Calibri" w:hAnsi="Calibri" w:eastAsia="Calibri" w:cs="Calibri"/>
          <w:sz w:val="26"/>
          <w:szCs w:val="26"/>
        </w:rPr>
      </w:pPr>
      <w:r>
        <w:rPr>
          <w:rFonts w:ascii="Calibri" w:hAnsi="Calibri" w:eastAsia="Calibri" w:cs="Calibri"/>
          <w:sz w:val="26"/>
          <w:szCs w:val="26"/>
        </w:rPr>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t xml:space="preserve">Some of these exonerations are famous for the police misconduct that drove the wrongful conviction. The exonerations of Anton McCray, Kevin Richardson, Yusef Salaam, Raymond Santana and Korey Wise of the Exonerated 5 led to a</w:t>
      </w:r>
      <w:r>
        <w:rPr>
          <w:rFonts w:ascii="Calibri" w:hAnsi="Calibri" w:eastAsia="Calibri" w:cs="Calibri"/>
          <w:sz w:val="26"/>
          <w:szCs w:val="26"/>
        </w:rPr>
        <w:t xml:space="preserve">n</w:t>
      </w:r>
      <w:r>
        <w:rPr>
          <w:rFonts w:ascii="Calibri" w:hAnsi="Calibri" w:eastAsia="Calibri" w:cs="Calibri"/>
          <w:sz w:val="26"/>
          <w:szCs w:val="26"/>
        </w:rPr>
        <w:t xml:space="preserve"> </w:t>
      </w:r>
      <w:r>
        <w:rPr>
          <w:rFonts w:ascii="Calibri" w:hAnsi="Calibri" w:eastAsia="Calibri" w:cs="Calibri"/>
          <w:sz w:val="26"/>
          <w:szCs w:val="26"/>
        </w:rPr>
        <w:t xml:space="preserve">excellent </w:t>
      </w:r>
      <w:r>
        <w:rPr>
          <w:rFonts w:ascii="Calibri" w:hAnsi="Calibri" w:eastAsia="Calibri" w:cs="Calibri"/>
          <w:sz w:val="26"/>
          <w:szCs w:val="26"/>
        </w:rPr>
        <w:t xml:space="preserve">documentary</w:t>
      </w:r>
      <w:r>
        <w:rPr>
          <w:rFonts w:ascii="Calibri" w:hAnsi="Calibri" w:eastAsia="Calibri" w:cs="Calibri"/>
          <w:sz w:val="26"/>
          <w:szCs w:val="26"/>
        </w:rPr>
        <w:t xml:space="preserve"> (The Central Park 5)</w:t>
      </w:r>
      <w:r>
        <w:rPr>
          <w:rFonts w:ascii="Calibri" w:hAnsi="Calibri" w:eastAsia="Calibri" w:cs="Calibri"/>
          <w:sz w:val="26"/>
          <w:szCs w:val="26"/>
        </w:rPr>
        <w:t xml:space="preserve">, a television miniseries</w:t>
      </w:r>
      <w:r>
        <w:rPr>
          <w:rFonts w:ascii="Calibri" w:hAnsi="Calibri" w:eastAsia="Calibri" w:cs="Calibri"/>
          <w:sz w:val="26"/>
          <w:szCs w:val="26"/>
        </w:rPr>
        <w:t xml:space="preserve"> (</w:t>
      </w:r>
      <w:r>
        <w:rPr>
          <w:rFonts w:ascii="Calibri" w:hAnsi="Calibri" w:eastAsia="Calibri" w:cs="Calibri"/>
          <w:i/>
          <w:sz w:val="26"/>
          <w:szCs w:val="26"/>
        </w:rPr>
        <w:t xml:space="preserve">When They See Us</w:t>
      </w:r>
      <w:r>
        <w:rPr>
          <w:rFonts w:ascii="Calibri" w:hAnsi="Calibri" w:eastAsia="Calibri" w:cs="Calibri"/>
          <w:sz w:val="26"/>
          <w:szCs w:val="26"/>
        </w:rPr>
        <w:t xml:space="preserve">), </w:t>
      </w:r>
      <w:r>
        <w:rPr>
          <w:rFonts w:ascii="Calibri" w:hAnsi="Calibri" w:eastAsia="Calibri" w:cs="Calibri"/>
          <w:sz w:val="26"/>
          <w:szCs w:val="26"/>
        </w:rPr>
        <w:t xml:space="preserve">and an opera about their case. Brooklyn police detective Louis Scarcella became infamous after more than a dozen murder convictions that had been secured through his interrogations and investigations were vacated. However, as these </w:t>
      </w:r>
      <w:r>
        <w:rPr>
          <w:rFonts w:ascii="Calibri" w:hAnsi="Calibri" w:eastAsia="Calibri" w:cs="Calibri"/>
          <w:sz w:val="26"/>
          <w:szCs w:val="26"/>
        </w:rPr>
        <w:t xml:space="preserve">exoneration </w:t>
      </w:r>
      <w:r>
        <w:rPr>
          <w:rFonts w:ascii="Calibri" w:hAnsi="Calibri" w:eastAsia="Calibri" w:cs="Calibri"/>
          <w:sz w:val="26"/>
          <w:szCs w:val="26"/>
        </w:rPr>
        <w:t xml:space="preserve">statistics demonstrate, police misconduct leading to wrongful convictions is a systemic problem that requires public transparency </w:t>
      </w:r>
      <w:r>
        <w:rPr>
          <w:rFonts w:ascii="Calibri" w:hAnsi="Calibri" w:eastAsia="Calibri" w:cs="Calibri"/>
          <w:sz w:val="26"/>
          <w:szCs w:val="26"/>
        </w:rPr>
        <w:t xml:space="preserve">of day-to-day activities </w:t>
      </w:r>
      <w:r>
        <w:rPr>
          <w:rFonts w:ascii="Calibri" w:hAnsi="Calibri" w:eastAsia="Calibri" w:cs="Calibri"/>
          <w:sz w:val="26"/>
          <w:szCs w:val="26"/>
        </w:rPr>
        <w:t xml:space="preserve">to be </w:t>
      </w:r>
      <w:r>
        <w:rPr>
          <w:rFonts w:ascii="Calibri" w:hAnsi="Calibri" w:eastAsia="Calibri" w:cs="Calibri"/>
          <w:sz w:val="26"/>
          <w:szCs w:val="26"/>
        </w:rPr>
        <w:t xml:space="preserve">fully </w:t>
      </w:r>
      <w:r>
        <w:rPr>
          <w:rFonts w:ascii="Calibri" w:hAnsi="Calibri" w:eastAsia="Calibri" w:cs="Calibri"/>
          <w:sz w:val="26"/>
          <w:szCs w:val="26"/>
        </w:rPr>
        <w:t xml:space="preserve">understood and addressed. </w:t>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t xml:space="preserve">The nature of the relationship between wrongful convictions and police misconduct has become easier to see after the repeal of 50-A. Former Innocence Project pol</w:t>
      </w:r>
      <w:r>
        <w:rPr>
          <w:rFonts w:ascii="Calibri" w:hAnsi="Calibri" w:eastAsia="Calibri" w:cs="Calibri"/>
          <w:sz w:val="26"/>
          <w:szCs w:val="26"/>
        </w:rPr>
        <w:t xml:space="preserve">icy advocate Laurie Roberts compared wrongful conviction case files to NYCLU’s database of officer complaints and was able to find 99 exonerations in which an identified officer listed in the database had committed misconduct. According to Roberts, “more t</w:t>
      </w:r>
      <w:r>
        <w:rPr>
          <w:rFonts w:ascii="Calibri" w:hAnsi="Calibri" w:eastAsia="Calibri" w:cs="Calibri"/>
          <w:sz w:val="26"/>
          <w:szCs w:val="26"/>
        </w:rPr>
        <w:t xml:space="preserve">han 40 percent of these cases involved at least one officer with six or more civilian complaints. More than half involved at least one officer with ten or more discrete allegations of misconduct, despite such officers comprising around just 15 percent of o</w:t>
      </w:r>
      <w:r>
        <w:rPr>
          <w:rFonts w:ascii="Calibri" w:hAnsi="Calibri" w:eastAsia="Calibri" w:cs="Calibri"/>
          <w:sz w:val="26"/>
          <w:szCs w:val="26"/>
        </w:rPr>
        <w:t xml:space="preserve">ur sample (and less than 3 percent of active-duty cops). In other words, officers accused of more misconduct than their peers more often worked cases later that were found to have resulted in a wrongful conviction in which official misconduct was alleged.”</w:t>
      </w:r>
      <w:r>
        <w:rPr>
          <w:rFonts w:ascii="Calibri" w:hAnsi="Calibri" w:eastAsia="Calibri" w:cs="Calibri"/>
          <w:sz w:val="26"/>
          <w:szCs w:val="26"/>
          <w:vertAlign w:val="superscript"/>
        </w:rPr>
        <w:footnoteReference w:id="4"/>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t xml:space="preserve">As Roberts points out, the universe of officers with the extensive misconduct records that correlate with wrongful convictions is small, but it is more than just a few bad</w:t>
      </w:r>
      <w:r>
        <w:rPr>
          <w:rFonts w:ascii="Calibri" w:hAnsi="Calibri" w:eastAsia="Calibri" w:cs="Calibri"/>
          <w:sz w:val="26"/>
          <w:szCs w:val="26"/>
        </w:rPr>
        <w:t xml:space="preserve"> apples. According to CCRB, there are currently approximately 34,000 active-duty officers in the NYPD. Roberts reports finding fewer than 3% of active-duty officers have ten or more discrete allegations of misconduct. Even assuming the number dips as low a</w:t>
      </w:r>
      <w:r>
        <w:rPr>
          <w:rFonts w:ascii="Calibri" w:hAnsi="Calibri" w:eastAsia="Calibri" w:cs="Calibri"/>
          <w:sz w:val="26"/>
          <w:szCs w:val="26"/>
        </w:rPr>
        <w:t xml:space="preserve">s</w:t>
      </w:r>
      <w:r>
        <w:rPr>
          <w:rFonts w:ascii="Calibri" w:hAnsi="Calibri" w:eastAsia="Calibri" w:cs="Calibri"/>
          <w:sz w:val="26"/>
          <w:szCs w:val="26"/>
        </w:rPr>
        <w:t xml:space="preserve"> 2% leads us to a roster of 680 officers patrolling the streets who have demonstrated conduct that is connected to wrongful convictions. This is a systemic problem.</w:t>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t xml:space="preserve">It’s notable that these are officers </w:t>
      </w:r>
      <w:r>
        <w:rPr>
          <w:rFonts w:ascii="Calibri" w:hAnsi="Calibri" w:eastAsia="Calibri" w:cs="Calibri"/>
          <w:i/>
          <w:sz w:val="26"/>
          <w:szCs w:val="26"/>
        </w:rPr>
        <w:t xml:space="preserve">accused</w:t>
      </w:r>
      <w:r>
        <w:rPr>
          <w:rFonts w:ascii="Calibri" w:hAnsi="Calibri" w:eastAsia="Calibri" w:cs="Calibri"/>
          <w:sz w:val="26"/>
          <w:szCs w:val="26"/>
        </w:rPr>
        <w:t xml:space="preserve"> of </w:t>
      </w:r>
      <w:r>
        <w:rPr>
          <w:rFonts w:ascii="Calibri" w:hAnsi="Calibri" w:eastAsia="Calibri" w:cs="Calibri"/>
          <w:sz w:val="26"/>
          <w:szCs w:val="26"/>
        </w:rPr>
        <w:t xml:space="preserve">misconduct</w:t>
      </w:r>
      <w:r>
        <w:rPr>
          <w:rFonts w:ascii="Calibri" w:hAnsi="Calibri" w:eastAsia="Calibri" w:cs="Calibri"/>
          <w:sz w:val="26"/>
          <w:szCs w:val="26"/>
        </w:rPr>
        <w:t xml:space="preserve"> but the ultimate finding was “unsubstantiated” as opposed to “unfounded</w:t>
      </w:r>
      <w:r>
        <w:rPr>
          <w:rFonts w:ascii="Calibri" w:hAnsi="Calibri" w:eastAsia="Calibri" w:cs="Calibri"/>
          <w:sz w:val="26"/>
          <w:szCs w:val="26"/>
        </w:rPr>
        <w:t xml:space="preserve">.</w:t>
      </w:r>
      <w:r>
        <w:rPr>
          <w:rFonts w:ascii="Calibri" w:hAnsi="Calibri" w:eastAsia="Calibri" w:cs="Calibri"/>
          <w:sz w:val="26"/>
          <w:szCs w:val="26"/>
        </w:rPr>
        <w:t xml:space="preserve">” </w:t>
      </w:r>
      <w:r>
        <w:rPr>
          <w:rFonts w:ascii="Calibri" w:hAnsi="Calibri" w:eastAsia="Calibri" w:cs="Calibri"/>
          <w:sz w:val="26"/>
          <w:szCs w:val="26"/>
        </w:rPr>
        <w:t xml:space="preserve">Regardless of the ultimate disposition of an </w:t>
      </w:r>
      <w:r>
        <w:rPr>
          <w:rFonts w:ascii="Calibri" w:hAnsi="Calibri" w:eastAsia="Calibri" w:cs="Calibri"/>
          <w:sz w:val="26"/>
          <w:szCs w:val="26"/>
        </w:rPr>
        <w:t xml:space="preserve">individual case</w:t>
      </w:r>
      <w:r>
        <w:rPr>
          <w:rFonts w:ascii="Calibri" w:hAnsi="Calibri" w:eastAsia="Calibri" w:cs="Calibri"/>
          <w:sz w:val="26"/>
          <w:szCs w:val="26"/>
        </w:rPr>
        <w:t xml:space="preserve">, high numbers of </w:t>
      </w:r>
      <w:r>
        <w:rPr>
          <w:rFonts w:ascii="Calibri" w:hAnsi="Calibri" w:eastAsia="Calibri" w:cs="Calibri"/>
          <w:sz w:val="26"/>
          <w:szCs w:val="26"/>
        </w:rPr>
        <w:t xml:space="preserve">“unsubstantiated” </w:t>
      </w:r>
      <w:r>
        <w:rPr>
          <w:rFonts w:ascii="Calibri" w:hAnsi="Calibri" w:eastAsia="Calibri" w:cs="Calibri"/>
          <w:sz w:val="26"/>
          <w:szCs w:val="26"/>
        </w:rPr>
        <w:t xml:space="preserve">allegations </w:t>
      </w:r>
      <w:r>
        <w:rPr>
          <w:rFonts w:ascii="Calibri" w:hAnsi="Calibri" w:eastAsia="Calibri" w:cs="Calibri"/>
          <w:sz w:val="26"/>
          <w:szCs w:val="26"/>
        </w:rPr>
        <w:t xml:space="preserve">of misconduct </w:t>
      </w:r>
      <w:r>
        <w:rPr>
          <w:rFonts w:ascii="Calibri" w:hAnsi="Calibri" w:eastAsia="Calibri" w:cs="Calibri"/>
          <w:sz w:val="26"/>
          <w:szCs w:val="26"/>
        </w:rPr>
        <w:t xml:space="preserve">are clearly correlated with involvement in wrongful convictions. </w:t>
      </w:r>
      <w:r>
        <w:rPr>
          <w:rFonts w:ascii="Calibri" w:hAnsi="Calibri" w:eastAsia="Calibri" w:cs="Calibri"/>
          <w:sz w:val="26"/>
          <w:szCs w:val="26"/>
        </w:rPr>
        <w:t xml:space="preserve">Accordingly, Recommendation 9</w:t>
      </w:r>
      <w:r>
        <w:rPr>
          <w:rFonts w:ascii="Calibri" w:hAnsi="Calibri" w:eastAsia="Calibri" w:cs="Calibri"/>
          <w:sz w:val="26"/>
          <w:szCs w:val="26"/>
        </w:rPr>
        <w:t xml:space="preserve"> of the Yates Report</w:t>
      </w:r>
      <w:r>
        <w:rPr>
          <w:rFonts w:ascii="Calibri" w:hAnsi="Calibri" w:eastAsia="Calibri" w:cs="Calibri"/>
          <w:sz w:val="26"/>
          <w:szCs w:val="26"/>
        </w:rPr>
        <w:t xml:space="preserve"> is extremely important: “Exonerated” means “the subject officer engaged in t</w:t>
      </w:r>
      <w:r>
        <w:rPr>
          <w:rFonts w:ascii="Calibri" w:hAnsi="Calibri" w:eastAsia="Calibri" w:cs="Calibri"/>
          <w:sz w:val="26"/>
          <w:szCs w:val="26"/>
        </w:rPr>
        <w:t xml:space="preserve">he alleged misconduct but to determine whether or not the acts alleged officer’s actions were lawful and proper.” “Unfounded” means “the officer did not perform the acts or engage in the conduct attributed to the officer.” “Unsubstantiated” means there is </w:t>
      </w:r>
      <w:r>
        <w:rPr>
          <w:rFonts w:ascii="Calibri" w:hAnsi="Calibri" w:eastAsia="Calibri" w:cs="Calibri"/>
          <w:sz w:val="26"/>
          <w:szCs w:val="26"/>
        </w:rPr>
        <w:t xml:space="preserve">“</w:t>
      </w:r>
      <w:r>
        <w:rPr>
          <w:rFonts w:ascii="Calibri" w:hAnsi="Calibri" w:eastAsia="Calibri" w:cs="Calibri"/>
          <w:sz w:val="26"/>
          <w:szCs w:val="26"/>
        </w:rPr>
        <w:t xml:space="preserve">insufficient evidence </w:t>
      </w:r>
      <w:r>
        <w:rPr>
          <w:rFonts w:ascii="Calibri" w:hAnsi="Calibri" w:eastAsia="Calibri" w:cs="Calibri"/>
          <w:sz w:val="26"/>
          <w:szCs w:val="26"/>
        </w:rPr>
        <w:t xml:space="preserve">to determine whether or not the acts alleged occurred or that the officer performed the acts or engaged in the conduct attributed to the officer.” Keeping track of “unsubstantiated” findings and distinguishing those findings from “unfounded” complaints is </w:t>
      </w:r>
      <w:r>
        <w:rPr>
          <w:rFonts w:ascii="Calibri" w:hAnsi="Calibri" w:eastAsia="Calibri" w:cs="Calibri"/>
          <w:sz w:val="26"/>
          <w:szCs w:val="26"/>
        </w:rPr>
        <w:t xml:space="preserve">essential</w:t>
      </w:r>
      <w:r>
        <w:rPr>
          <w:rFonts w:ascii="Calibri" w:hAnsi="Calibri" w:eastAsia="Calibri" w:cs="Calibri"/>
          <w:sz w:val="26"/>
          <w:szCs w:val="26"/>
        </w:rPr>
        <w:t xml:space="preserve"> for multiple investigatory </w:t>
      </w:r>
      <w:r>
        <w:rPr>
          <w:rFonts w:ascii="Calibri" w:hAnsi="Calibri" w:eastAsia="Calibri" w:cs="Calibri"/>
          <w:sz w:val="26"/>
          <w:szCs w:val="26"/>
        </w:rPr>
        <w:t xml:space="preserve">NYPD investigative </w:t>
      </w:r>
      <w:r>
        <w:rPr>
          <w:rFonts w:ascii="Calibri" w:hAnsi="Calibri" w:eastAsia="Calibri" w:cs="Calibri"/>
          <w:sz w:val="26"/>
          <w:szCs w:val="26"/>
        </w:rPr>
        <w:t xml:space="preserve">bodies that deal with SQFS cases and other misconduct allegations as described in Recommendation 10. </w:t>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t xml:space="preserve"> </w:t>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t xml:space="preserve">The </w:t>
      </w:r>
      <w:r>
        <w:rPr>
          <w:rFonts w:ascii="Calibri" w:hAnsi="Calibri" w:eastAsia="Calibri" w:cs="Calibri"/>
          <w:sz w:val="26"/>
          <w:szCs w:val="26"/>
        </w:rPr>
        <w:t xml:space="preserve">Roberts’ research demonstrates </w:t>
      </w:r>
      <w:r>
        <w:rPr>
          <w:rFonts w:ascii="Calibri" w:hAnsi="Calibri" w:eastAsia="Calibri" w:cs="Calibri"/>
          <w:sz w:val="26"/>
          <w:szCs w:val="26"/>
        </w:rPr>
        <w:t xml:space="preserve">there is a correlation between adjudicated acts of misconduct and multiple “unsubstantiated”</w:t>
      </w:r>
      <w:r>
        <w:rPr>
          <w:rFonts w:ascii="Calibri" w:hAnsi="Calibri" w:eastAsia="Calibri" w:cs="Calibri"/>
          <w:sz w:val="26"/>
          <w:szCs w:val="26"/>
        </w:rPr>
        <w:t xml:space="preserve"> </w:t>
      </w:r>
      <w:r>
        <w:rPr>
          <w:rFonts w:ascii="Calibri" w:hAnsi="Calibri" w:eastAsia="Calibri" w:cs="Calibri"/>
          <w:sz w:val="26"/>
          <w:szCs w:val="26"/>
        </w:rPr>
        <w:t xml:space="preserve">complaints and </w:t>
      </w:r>
      <w:r>
        <w:rPr>
          <w:rFonts w:ascii="Calibri" w:hAnsi="Calibri" w:eastAsia="Calibri" w:cs="Calibri"/>
          <w:sz w:val="26"/>
          <w:szCs w:val="26"/>
        </w:rPr>
        <w:t xml:space="preserve">wrongful convictions.</w:t>
      </w:r>
      <w:r>
        <w:rPr>
          <w:rFonts w:ascii="Calibri" w:hAnsi="Calibri" w:eastAsia="Calibri" w:cs="Calibri"/>
          <w:sz w:val="26"/>
          <w:szCs w:val="26"/>
        </w:rPr>
        <w:t xml:space="preserve"> But that research only scratches the surface of what could be discovered with proper collection and access to misconduct data. </w:t>
      </w:r>
      <w:r>
        <w:rPr>
          <w:rFonts w:ascii="Calibri" w:hAnsi="Calibri" w:eastAsia="Calibri" w:cs="Calibri"/>
          <w:sz w:val="26"/>
          <w:szCs w:val="26"/>
        </w:rPr>
        <w:t xml:space="preserve">Ensuring</w:t>
      </w:r>
      <w:r>
        <w:rPr>
          <w:rFonts w:ascii="Calibri" w:hAnsi="Calibri" w:eastAsia="Calibri" w:cs="Calibri"/>
          <w:sz w:val="26"/>
          <w:szCs w:val="26"/>
        </w:rPr>
        <w:t xml:space="preserve"> </w:t>
      </w:r>
      <w:r>
        <w:rPr>
          <w:rFonts w:ascii="Calibri" w:hAnsi="Calibri" w:eastAsia="Calibri" w:cs="Calibri"/>
          <w:sz w:val="26"/>
          <w:szCs w:val="26"/>
        </w:rPr>
        <w:t xml:space="preserve">the public has access to </w:t>
      </w:r>
      <w:r>
        <w:rPr>
          <w:rFonts w:ascii="Calibri" w:hAnsi="Calibri" w:eastAsia="Calibri" w:cs="Calibri"/>
          <w:sz w:val="26"/>
          <w:szCs w:val="26"/>
        </w:rPr>
        <w:t xml:space="preserve">“unsubstantiated” </w:t>
      </w:r>
      <w:r>
        <w:rPr>
          <w:rFonts w:ascii="Calibri" w:hAnsi="Calibri" w:eastAsia="Calibri" w:cs="Calibri"/>
          <w:sz w:val="26"/>
          <w:szCs w:val="26"/>
        </w:rPr>
        <w:t xml:space="preserve">allegations </w:t>
      </w:r>
      <w:r>
        <w:rPr>
          <w:rFonts w:ascii="Calibri" w:hAnsi="Calibri" w:eastAsia="Calibri" w:cs="Calibri"/>
          <w:sz w:val="26"/>
          <w:szCs w:val="26"/>
        </w:rPr>
        <w:t xml:space="preserve">as well as adjudicated acts of misconduct</w:t>
      </w:r>
      <w:r>
        <w:rPr>
          <w:rFonts w:ascii="Calibri" w:hAnsi="Calibri" w:eastAsia="Calibri" w:cs="Calibri"/>
          <w:sz w:val="26"/>
          <w:szCs w:val="26"/>
        </w:rPr>
        <w:t xml:space="preserve"> </w:t>
      </w:r>
      <w:r>
        <w:rPr>
          <w:rFonts w:ascii="Calibri" w:hAnsi="Calibri" w:eastAsia="Calibri" w:cs="Calibri"/>
          <w:sz w:val="26"/>
          <w:szCs w:val="26"/>
        </w:rPr>
        <w:t xml:space="preserve">allows </w:t>
      </w:r>
      <w:r>
        <w:rPr>
          <w:rFonts w:ascii="Calibri" w:hAnsi="Calibri" w:eastAsia="Calibri" w:cs="Calibri"/>
          <w:sz w:val="26"/>
          <w:szCs w:val="26"/>
        </w:rPr>
        <w:t xml:space="preserve">stakeholders </w:t>
      </w:r>
      <w:r>
        <w:rPr>
          <w:rFonts w:ascii="Calibri" w:hAnsi="Calibri" w:eastAsia="Calibri" w:cs="Calibri"/>
          <w:sz w:val="26"/>
          <w:szCs w:val="26"/>
        </w:rPr>
        <w:t xml:space="preserve">and civil society </w:t>
      </w:r>
      <w:r>
        <w:rPr>
          <w:rFonts w:ascii="Calibri" w:hAnsi="Calibri" w:eastAsia="Calibri" w:cs="Calibri"/>
          <w:sz w:val="26"/>
          <w:szCs w:val="26"/>
        </w:rPr>
        <w:t xml:space="preserve">outside the NYPD </w:t>
      </w:r>
      <w:r>
        <w:rPr>
          <w:rFonts w:ascii="Calibri" w:hAnsi="Calibri" w:eastAsia="Calibri" w:cs="Calibri"/>
          <w:sz w:val="26"/>
          <w:szCs w:val="26"/>
        </w:rPr>
        <w:t xml:space="preserve">to</w:t>
      </w:r>
      <w:r>
        <w:rPr>
          <w:rFonts w:ascii="Calibri" w:hAnsi="Calibri" w:eastAsia="Calibri" w:cs="Calibri"/>
          <w:sz w:val="26"/>
          <w:szCs w:val="26"/>
        </w:rPr>
        <w:t xml:space="preserve"> identify patterns of misconduct and </w:t>
      </w:r>
      <w:r>
        <w:rPr>
          <w:rFonts w:ascii="Calibri" w:hAnsi="Calibri" w:eastAsia="Calibri" w:cs="Calibri"/>
          <w:sz w:val="26"/>
          <w:szCs w:val="26"/>
        </w:rPr>
        <w:t xml:space="preserve">thereby </w:t>
      </w:r>
      <w:r>
        <w:rPr>
          <w:rFonts w:ascii="Calibri" w:hAnsi="Calibri" w:eastAsia="Calibri" w:cs="Calibri"/>
          <w:sz w:val="26"/>
          <w:szCs w:val="26"/>
        </w:rPr>
        <w:t xml:space="preserve">provide </w:t>
      </w:r>
      <w:r>
        <w:rPr>
          <w:rFonts w:ascii="Calibri" w:hAnsi="Calibri" w:eastAsia="Calibri" w:cs="Calibri"/>
          <w:sz w:val="26"/>
          <w:szCs w:val="26"/>
        </w:rPr>
        <w:t xml:space="preserve">crucial </w:t>
      </w:r>
      <w:r>
        <w:rPr>
          <w:rFonts w:ascii="Calibri" w:hAnsi="Calibri" w:eastAsia="Calibri" w:cs="Calibri"/>
          <w:sz w:val="26"/>
          <w:szCs w:val="26"/>
        </w:rPr>
        <w:t xml:space="preserve">oversight.</w:t>
      </w:r>
      <w:r>
        <w:rPr>
          <w:rFonts w:ascii="Calibri" w:hAnsi="Calibri" w:eastAsia="Calibri" w:cs="Calibri"/>
          <w:sz w:val="26"/>
          <w:szCs w:val="26"/>
        </w:rPr>
        <w:t xml:space="preserve"> In Chicago “unsubstantiated” allegation data is available and has made it possible for researchers to go beyond the narrow notion of “problem officers,” the proverbial “bad apples.”</w:t>
      </w:r>
      <w:r>
        <w:rPr>
          <w:rStyle w:val="938"/>
          <w:rFonts w:ascii="Calibri" w:hAnsi="Calibri" w:eastAsia="Calibri" w:cs="Calibri"/>
          <w:sz w:val="26"/>
          <w:szCs w:val="26"/>
        </w:rPr>
        <w:footnoteReference w:id="5"/>
      </w:r>
      <w:r>
        <w:rPr>
          <w:rFonts w:ascii="Calibri" w:hAnsi="Calibri" w:eastAsia="Calibri" w:cs="Calibri"/>
          <w:sz w:val="26"/>
          <w:szCs w:val="26"/>
        </w:rPr>
        <w:t xml:space="preserve"> A social network and machine learning approach allowed the empirical investigation of potential “crews” of officers between 1971 and 2018. Results detected approximately 160 possible </w:t>
      </w:r>
      <w:r>
        <w:rPr>
          <w:rFonts w:ascii="Calibri" w:hAnsi="Calibri" w:eastAsia="Calibri" w:cs="Calibri"/>
          <w:sz w:val="26"/>
          <w:szCs w:val="26"/>
        </w:rPr>
        <w:t xml:space="preserve">crews, comprised of less than 4% of</w:t>
      </w:r>
      <w:r>
        <w:rPr>
          <w:rFonts w:ascii="Calibri" w:hAnsi="Calibri" w:eastAsia="Calibri" w:cs="Calibri"/>
          <w:sz w:val="26"/>
          <w:szCs w:val="26"/>
        </w:rPr>
        <w:t xml:space="preserve"> all Chicago police officers. Officers linked to these crews accounted for approximately 25% of all use of force complaints, city payouts for civil and criminal litigations, and police-involved shootings. The detected crews also contributed to racial dispa</w:t>
      </w:r>
      <w:r>
        <w:rPr>
          <w:rFonts w:ascii="Calibri" w:hAnsi="Calibri" w:eastAsia="Calibri" w:cs="Calibri"/>
          <w:sz w:val="26"/>
          <w:szCs w:val="26"/>
        </w:rPr>
        <w:t xml:space="preserve">rities in arrests and civilian complaints, generating nearly 18% of all complaints filed by Black Chicagoans and 14% of complaints by Hispanic Chicagoans. Implementation of the recommendations in the Yates report would allow even better empirical analyses.</w:t>
      </w:r>
      <w:r>
        <w:rPr>
          <w:rStyle w:val="938"/>
          <w:rFonts w:ascii="Calibri" w:hAnsi="Calibri" w:eastAsia="Calibri" w:cs="Calibri"/>
          <w:sz w:val="26"/>
          <w:szCs w:val="26"/>
        </w:rPr>
        <w:footnoteReference w:id="6"/>
      </w:r>
      <w:r>
        <w:rPr>
          <w:rFonts w:ascii="Calibri" w:hAnsi="Calibri" w:eastAsia="Calibri" w:cs="Calibri"/>
          <w:sz w:val="26"/>
          <w:szCs w:val="26"/>
        </w:rPr>
        <w:tab/>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t xml:space="preserve">The 51 recommendations in this report can make an important difference in police practice to both prevent and reveal misconduct. In addition to Recommendations 9 and !0, the Innocence Project </w:t>
      </w:r>
      <w:r>
        <w:rPr>
          <w:rFonts w:ascii="Calibri" w:hAnsi="Calibri" w:eastAsia="Calibri" w:cs="Calibri"/>
          <w:sz w:val="26"/>
          <w:szCs w:val="26"/>
        </w:rPr>
        <w:t xml:space="preserve">calls the court’s attention to </w:t>
      </w:r>
      <w:r>
        <w:rPr>
          <w:rFonts w:ascii="Calibri" w:hAnsi="Calibri" w:eastAsia="Calibri" w:cs="Calibri"/>
          <w:sz w:val="26"/>
          <w:szCs w:val="26"/>
        </w:rPr>
        <w:t xml:space="preserve">ten </w:t>
      </w:r>
      <w:r>
        <w:rPr>
          <w:rFonts w:ascii="Calibri" w:hAnsi="Calibri" w:eastAsia="Calibri" w:cs="Calibri"/>
          <w:sz w:val="26"/>
          <w:szCs w:val="26"/>
        </w:rPr>
        <w:t xml:space="preserve">additional</w:t>
      </w:r>
      <w:r>
        <w:rPr>
          <w:rFonts w:ascii="Calibri" w:hAnsi="Calibri" w:eastAsia="Calibri" w:cs="Calibri"/>
          <w:sz w:val="26"/>
          <w:szCs w:val="26"/>
        </w:rPr>
        <w:t xml:space="preserve"> recommendations </w:t>
      </w:r>
      <w:r>
        <w:rPr>
          <w:rFonts w:ascii="Calibri" w:hAnsi="Calibri" w:eastAsia="Calibri" w:cs="Calibri"/>
          <w:sz w:val="26"/>
          <w:szCs w:val="26"/>
        </w:rPr>
        <w:t xml:space="preserve">that are especially </w:t>
      </w:r>
      <w:r>
        <w:rPr>
          <w:rFonts w:ascii="Calibri" w:hAnsi="Calibri" w:eastAsia="Calibri" w:cs="Calibri"/>
          <w:sz w:val="26"/>
          <w:szCs w:val="26"/>
        </w:rPr>
        <w:t xml:space="preserve">relevant to reducing wrongful convictions by increasing public transparency and allowing internal disciplinary investigations to patterns of misconduct</w:t>
      </w:r>
      <w:r>
        <w:rPr>
          <w:rFonts w:ascii="Calibri" w:hAnsi="Calibri" w:eastAsia="Calibri" w:cs="Calibri"/>
          <w:sz w:val="26"/>
          <w:szCs w:val="26"/>
        </w:rPr>
        <w:t xml:space="preserve">. </w:t>
      </w:r>
      <w:r>
        <w:rPr>
          <w:rFonts w:ascii="Calibri" w:hAnsi="Calibri" w:eastAsia="Calibri" w:cs="Calibri"/>
          <w:sz w:val="26"/>
          <w:szCs w:val="26"/>
        </w:rPr>
      </w:r>
    </w:p>
    <w:p>
      <w:pPr>
        <w:pBdr/>
        <w:spacing/>
        <w:ind/>
        <w:rPr>
          <w:rFonts w:ascii="Calibri" w:hAnsi="Calibri" w:eastAsia="Calibri" w:cs="Calibri"/>
          <w:b/>
          <w:sz w:val="26"/>
          <w:szCs w:val="26"/>
        </w:rPr>
      </w:pPr>
      <w:r>
        <w:rPr>
          <w:rFonts w:ascii="Calibri" w:hAnsi="Calibri" w:eastAsia="Calibri" w:cs="Calibri"/>
          <w:b/>
          <w:sz w:val="26"/>
          <w:szCs w:val="26"/>
        </w:rPr>
      </w:r>
      <w:r>
        <w:rPr>
          <w:rFonts w:ascii="Calibri" w:hAnsi="Calibri" w:eastAsia="Calibri" w:cs="Calibri"/>
          <w:b/>
          <w:sz w:val="26"/>
          <w:szCs w:val="26"/>
        </w:rPr>
      </w:r>
    </w:p>
    <w:p>
      <w:pPr>
        <w:pBdr/>
        <w:spacing/>
        <w:ind/>
        <w:rPr>
          <w:rFonts w:ascii="Calibri" w:hAnsi="Calibri" w:eastAsia="Calibri" w:cs="Calibri"/>
          <w:i/>
          <w:sz w:val="26"/>
          <w:szCs w:val="26"/>
        </w:rPr>
      </w:pPr>
      <w:r>
        <w:rPr>
          <w:rFonts w:ascii="Calibri" w:hAnsi="Calibri" w:eastAsia="Calibri" w:cs="Calibri"/>
          <w:i/>
          <w:sz w:val="26"/>
          <w:szCs w:val="26"/>
        </w:rPr>
        <w:t xml:space="preserve">Reco</w:t>
      </w:r>
      <w:r>
        <w:rPr>
          <w:rFonts w:ascii="Calibri" w:hAnsi="Calibri" w:eastAsia="Calibri" w:cs="Calibri"/>
          <w:i/>
          <w:sz w:val="26"/>
          <w:szCs w:val="26"/>
        </w:rPr>
        <w:t xml:space="preserve">mmendation 1: Any items in the Departmental Manual pertaining to Fourth Amendment or Fourteenth Amendment enforcement, compliance, and related discipline should be made publicly available including: procedures, supervisory responsibility, investigations, i</w:t>
      </w:r>
      <w:r>
        <w:rPr>
          <w:rFonts w:ascii="Calibri" w:hAnsi="Calibri" w:eastAsia="Calibri" w:cs="Calibri"/>
          <w:i/>
          <w:sz w:val="26"/>
          <w:szCs w:val="26"/>
        </w:rPr>
        <w:t xml:space="preserve">nterviews, reporting and decision-making regarding misconduct, interaction with Civilian Complaint Review Board (CCRB) or other investigative bodies.  Such provisions in the Departmental Manual, which includes the Patrol Guide and the Administrative Guide,</w:t>
      </w:r>
      <w:r>
        <w:rPr>
          <w:rFonts w:ascii="Calibri" w:hAnsi="Calibri" w:eastAsia="Calibri" w:cs="Calibri"/>
          <w:i/>
          <w:sz w:val="26"/>
          <w:szCs w:val="26"/>
        </w:rPr>
        <w:t xml:space="preserve"> should be publicly posted and available to the public, with exceptions as provided in NYC Admin. Code § 14164 (confidential information non-routine investigative techniques, material which could compromise safety or ongoing investigations and operations).</w:t>
      </w:r>
      <w:r>
        <w:rPr>
          <w:rFonts w:ascii="Calibri" w:hAnsi="Calibri" w:eastAsia="Calibri" w:cs="Calibri"/>
          <w:i/>
          <w:sz w:val="26"/>
          <w:szCs w:val="26"/>
        </w:rPr>
      </w:r>
    </w:p>
    <w:p>
      <w:pPr>
        <w:pBdr/>
        <w:spacing/>
        <w:ind/>
        <w:rPr>
          <w:rFonts w:ascii="Calibri" w:hAnsi="Calibri" w:eastAsia="Calibri" w:cs="Calibri"/>
          <w:sz w:val="26"/>
          <w:szCs w:val="26"/>
        </w:rPr>
      </w:pPr>
      <w:r>
        <w:rPr>
          <w:rFonts w:ascii="Calibri" w:hAnsi="Calibri" w:eastAsia="Calibri" w:cs="Calibri"/>
          <w:sz w:val="26"/>
          <w:szCs w:val="26"/>
        </w:rPr>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t xml:space="preserve">New Yorkers have a </w:t>
      </w:r>
      <w:r>
        <w:rPr>
          <w:rFonts w:ascii="Calibri" w:hAnsi="Calibri" w:eastAsia="Calibri" w:cs="Calibri"/>
          <w:sz w:val="26"/>
          <w:szCs w:val="26"/>
        </w:rPr>
        <w:t xml:space="preserve">right to know the guidelines that their police department is operating under. The guardrail here provides protection against any disclosure of police procedure that could undermine investigatory capabilities, but it is critical for the public, researchers </w:t>
      </w:r>
      <w:r>
        <w:rPr>
          <w:rFonts w:ascii="Calibri" w:hAnsi="Calibri" w:eastAsia="Calibri" w:cs="Calibri"/>
          <w:sz w:val="26"/>
          <w:szCs w:val="26"/>
        </w:rPr>
        <w:t xml:space="preserve">and advocates to understand exactly what is expected of officers to understand what qualifies as misconduct and whether policy changes would be appropriate.</w:t>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i/>
          <w:sz w:val="26"/>
          <w:szCs w:val="26"/>
        </w:rPr>
        <w:t xml:space="preserve">Recommendation 4: Upon receiving notice and a directive to impose discipline or guidance of a substantiated SQFS (Stop, Question, Frisk, Search of Person) finding by CCRB, the CO must report back to the Department Advocates Office (DAO) </w:t>
      </w:r>
      <w:r>
        <w:rPr>
          <w:rFonts w:ascii="Calibri" w:hAnsi="Calibri" w:eastAsia="Calibri" w:cs="Calibri"/>
          <w:i/>
          <w:sz w:val="26"/>
          <w:szCs w:val="26"/>
        </w:rPr>
        <w:t xml:space="preserve">the final result</w:t>
      </w:r>
      <w:r>
        <w:rPr>
          <w:rFonts w:ascii="Calibri" w:hAnsi="Calibri" w:eastAsia="Calibri" w:cs="Calibri"/>
          <w:i/>
          <w:sz w:val="26"/>
          <w:szCs w:val="26"/>
        </w:rPr>
        <w:t xml:space="preserve">, including the specific penalty or guidance imposed and the date of imposition, within 30 days.  This should be forwarded immediately to CCRB and be made publicly available. Any complainant should be personally advised of the penalty outcome.</w:t>
      </w:r>
      <w:r>
        <w:rPr>
          <w:rFonts w:ascii="Calibri" w:hAnsi="Calibri" w:eastAsia="Calibri" w:cs="Calibri"/>
          <w:sz w:val="26"/>
          <w:szCs w:val="26"/>
        </w:rPr>
        <w:t xml:space="preserve"> </w:t>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t xml:space="preserve">The court has been very clear about the parameters around NYPD’s SQFS </w:t>
      </w:r>
      <w:r>
        <w:rPr>
          <w:rFonts w:ascii="Calibri" w:hAnsi="Calibri" w:eastAsia="Calibri" w:cs="Calibri"/>
          <w:sz w:val="26"/>
          <w:szCs w:val="26"/>
        </w:rPr>
        <w:t xml:space="preserve">procedures</w:t>
      </w:r>
      <w:r>
        <w:rPr>
          <w:rFonts w:ascii="Calibri" w:hAnsi="Calibri" w:eastAsia="Calibri" w:cs="Calibri"/>
          <w:sz w:val="26"/>
          <w:szCs w:val="26"/>
        </w:rPr>
        <w:t xml:space="preserve"> and the public has the right to know when the NYPD is violating those guidelines. Beyond that, though, these dispositions </w:t>
      </w:r>
      <w:r>
        <w:rPr>
          <w:rFonts w:ascii="Calibri" w:hAnsi="Calibri" w:eastAsia="Calibri" w:cs="Calibri"/>
          <w:sz w:val="26"/>
          <w:szCs w:val="26"/>
        </w:rPr>
        <w:t xml:space="preserve">must </w:t>
      </w:r>
      <w:r>
        <w:rPr>
          <w:rFonts w:ascii="Calibri" w:hAnsi="Calibri" w:eastAsia="Calibri" w:cs="Calibri"/>
          <w:sz w:val="26"/>
          <w:szCs w:val="26"/>
        </w:rPr>
        <w:t xml:space="preserve">be shared </w:t>
      </w:r>
      <w:r>
        <w:rPr>
          <w:rFonts w:ascii="Calibri" w:hAnsi="Calibri" w:eastAsia="Calibri" w:cs="Calibri"/>
          <w:sz w:val="26"/>
          <w:szCs w:val="26"/>
        </w:rPr>
        <w:t xml:space="preserve">in a timely manner </w:t>
      </w:r>
      <w:r>
        <w:rPr>
          <w:rFonts w:ascii="Calibri" w:hAnsi="Calibri" w:eastAsia="Calibri" w:cs="Calibri"/>
          <w:sz w:val="26"/>
          <w:szCs w:val="26"/>
        </w:rPr>
        <w:t xml:space="preserve">with CCRB and made public to detect the patterns of misconduct that signal an officer is likely to be involved in wrongful convictions.</w:t>
      </w:r>
      <w:r>
        <w:rPr>
          <w:rFonts w:ascii="Calibri" w:hAnsi="Calibri" w:eastAsia="Calibri" w:cs="Calibri"/>
          <w:sz w:val="26"/>
          <w:szCs w:val="26"/>
        </w:rPr>
        <w:t xml:space="preserve"> The untimely disclosure of past misconduct by officers who become in</w:t>
      </w:r>
      <w:r>
        <w:rPr>
          <w:rFonts w:ascii="Calibri" w:hAnsi="Calibri" w:eastAsia="Calibri" w:cs="Calibri"/>
          <w:sz w:val="26"/>
          <w:szCs w:val="26"/>
        </w:rPr>
        <w:t xml:space="preserve">volved in publicized and fatal encounters, such as the Eric Garner case in Staten Island, the George Floyd case in Minnesota, or the Laquan McDonald case in Chicago have profound effects in terms of undermining public confidence in the police department.  </w:t>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r>
      <w:r>
        <w:rPr>
          <w:rFonts w:ascii="Calibri" w:hAnsi="Calibri" w:eastAsia="Calibri" w:cs="Calibri"/>
          <w:sz w:val="26"/>
          <w:szCs w:val="26"/>
        </w:rPr>
      </w:r>
    </w:p>
    <w:p>
      <w:pPr>
        <w:pBdr/>
        <w:spacing/>
        <w:ind/>
        <w:rPr>
          <w:rFonts w:ascii="Calibri" w:hAnsi="Calibri" w:eastAsia="Calibri" w:cs="Calibri"/>
          <w:i/>
          <w:sz w:val="26"/>
          <w:szCs w:val="26"/>
        </w:rPr>
      </w:pPr>
      <w:r>
        <w:rPr>
          <w:rFonts w:ascii="Calibri" w:hAnsi="Calibri" w:eastAsia="Calibri" w:cs="Calibri"/>
          <w:i/>
          <w:sz w:val="26"/>
          <w:szCs w:val="26"/>
        </w:rPr>
        <w:t xml:space="preserve">Recommendation 5: Command disciplines imposed for SQFS misconduct are not “technical” findings under Public Officer’s Law § 86 and should be publicly available under FOIL. </w:t>
      </w:r>
      <w:r>
        <w:rPr>
          <w:rFonts w:ascii="Calibri" w:hAnsi="Calibri" w:eastAsia="Calibri" w:cs="Calibri"/>
          <w:i/>
          <w:sz w:val="26"/>
          <w:szCs w:val="26"/>
        </w:rPr>
      </w:r>
    </w:p>
    <w:p>
      <w:pPr>
        <w:pBdr/>
        <w:spacing/>
        <w:ind/>
        <w:rPr>
          <w:rFonts w:ascii="Calibri" w:hAnsi="Calibri" w:eastAsia="Calibri" w:cs="Calibri"/>
          <w:sz w:val="26"/>
          <w:szCs w:val="26"/>
        </w:rPr>
      </w:pPr>
      <w:r>
        <w:rPr>
          <w:rFonts w:ascii="Calibri" w:hAnsi="Calibri" w:eastAsia="Calibri" w:cs="Calibri"/>
          <w:sz w:val="26"/>
          <w:szCs w:val="26"/>
        </w:rPr>
      </w:r>
      <w:r>
        <w:rPr>
          <w:rFonts w:ascii="Calibri" w:hAnsi="Calibri" w:eastAsia="Calibri" w:cs="Calibri"/>
          <w:sz w:val="26"/>
          <w:szCs w:val="26"/>
        </w:rPr>
      </w:r>
    </w:p>
    <w:p>
      <w:pPr>
        <w:pBdr/>
        <w:spacing/>
        <w:ind/>
        <w:rPr>
          <w:rFonts w:ascii="Calibri" w:hAnsi="Calibri" w:eastAsia="Calibri" w:cs="Calibri"/>
          <w:i/>
          <w:sz w:val="26"/>
          <w:szCs w:val="26"/>
        </w:rPr>
      </w:pPr>
      <w:r>
        <w:rPr>
          <w:rFonts w:ascii="Calibri" w:hAnsi="Calibri" w:eastAsia="Calibri" w:cs="Calibri"/>
          <w:i/>
          <w:sz w:val="26"/>
          <w:szCs w:val="26"/>
        </w:rPr>
        <w:t xml:space="preserve">Recommendation 6: NYPD’s “Officer Profile” posting of “Disciplinary History” s</w:t>
      </w:r>
      <w:r>
        <w:rPr>
          <w:rFonts w:ascii="Calibri" w:hAnsi="Calibri" w:eastAsia="Calibri" w:cs="Calibri"/>
          <w:i/>
          <w:sz w:val="26"/>
          <w:szCs w:val="26"/>
        </w:rPr>
        <w:t xml:space="preserve">hould include all substantiated SQFS allegations accepted by the Police Commissioner (with date of incident and specific outcome, including guidance or penalty).  This should include SQFS substantiations whether made by CCRB, IAB, or within the Department.</w:t>
      </w:r>
      <w:r>
        <w:rPr>
          <w:rFonts w:ascii="Calibri" w:hAnsi="Calibri" w:eastAsia="Calibri" w:cs="Calibri"/>
          <w:i/>
          <w:sz w:val="26"/>
          <w:szCs w:val="26"/>
        </w:rPr>
      </w:r>
    </w:p>
    <w:p>
      <w:pPr>
        <w:pBdr/>
        <w:spacing/>
        <w:ind/>
        <w:rPr>
          <w:rFonts w:ascii="Calibri" w:hAnsi="Calibri" w:eastAsia="Calibri" w:cs="Calibri"/>
          <w:i/>
          <w:sz w:val="26"/>
          <w:szCs w:val="26"/>
        </w:rPr>
      </w:pPr>
      <w:r>
        <w:rPr>
          <w:rFonts w:ascii="Calibri" w:hAnsi="Calibri" w:eastAsia="Calibri" w:cs="Calibri"/>
          <w:i/>
          <w:sz w:val="26"/>
          <w:szCs w:val="26"/>
        </w:rPr>
      </w:r>
      <w:r>
        <w:rPr>
          <w:rFonts w:ascii="Calibri" w:hAnsi="Calibri" w:eastAsia="Calibri" w:cs="Calibri"/>
          <w:i/>
          <w:sz w:val="26"/>
          <w:szCs w:val="26"/>
        </w:rPr>
      </w:r>
    </w:p>
    <w:p>
      <w:pPr>
        <w:pBdr/>
        <w:spacing/>
        <w:ind/>
        <w:rPr>
          <w:rFonts w:ascii="Calibri" w:hAnsi="Calibri" w:eastAsia="Calibri" w:cs="Calibri"/>
          <w:i/>
          <w:sz w:val="26"/>
          <w:szCs w:val="26"/>
        </w:rPr>
      </w:pPr>
      <w:r>
        <w:rPr>
          <w:rFonts w:ascii="Calibri" w:hAnsi="Calibri" w:eastAsia="Calibri" w:cs="Calibri"/>
          <w:i/>
          <w:sz w:val="26"/>
          <w:szCs w:val="26"/>
        </w:rPr>
        <w:t xml:space="preserve">Recommendation 7: When CCRB has referred Other Possible Misconduct Noted (OPMN) to NYPD arising from an SQFS investig</w:t>
      </w:r>
      <w:r>
        <w:rPr>
          <w:rFonts w:ascii="Calibri" w:hAnsi="Calibri" w:eastAsia="Calibri" w:cs="Calibri"/>
          <w:i/>
          <w:sz w:val="26"/>
          <w:szCs w:val="26"/>
        </w:rPr>
        <w:t xml:space="preserve">ation, the Department should promptly advise CCRB of the disposition, level of discipline, and penalty, if any, imposed.  Substantiated dispositions should be listed on the publicly posted online profile and in CCRB’s listing of MOS disciplinary outcomes. </w:t>
      </w:r>
      <w:r>
        <w:rPr>
          <w:rFonts w:ascii="Calibri" w:hAnsi="Calibri" w:eastAsia="Calibri" w:cs="Calibri"/>
          <w:i/>
          <w:sz w:val="26"/>
          <w:szCs w:val="26"/>
        </w:rPr>
      </w:r>
    </w:p>
    <w:p>
      <w:pPr>
        <w:pBdr/>
        <w:spacing/>
        <w:ind/>
        <w:rPr>
          <w:rFonts w:ascii="Calibri" w:hAnsi="Calibri" w:eastAsia="Calibri" w:cs="Calibri"/>
          <w:sz w:val="26"/>
          <w:szCs w:val="26"/>
        </w:rPr>
      </w:pPr>
      <w:r>
        <w:rPr>
          <w:rFonts w:ascii="Calibri" w:hAnsi="Calibri" w:eastAsia="Calibri" w:cs="Calibri"/>
          <w:sz w:val="26"/>
          <w:szCs w:val="26"/>
        </w:rPr>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t xml:space="preserve">Disciplinary history made available to the public should be complete. SQFS allegations should not be excluded for any reason; these allegations represent serious misconduct and can be part of a pattern of misconduct that should be compiled together. </w:t>
      </w:r>
      <w:r>
        <w:rPr>
          <w:rFonts w:ascii="Calibri" w:hAnsi="Calibri" w:eastAsia="Calibri" w:cs="Calibri"/>
          <w:sz w:val="26"/>
          <w:szCs w:val="26"/>
        </w:rPr>
        <w:t xml:space="preserve">The press and </w:t>
      </w:r>
      <w:r>
        <w:rPr>
          <w:rFonts w:ascii="Calibri" w:hAnsi="Calibri" w:eastAsia="Calibri" w:cs="Calibri"/>
          <w:sz w:val="26"/>
          <w:szCs w:val="26"/>
        </w:rPr>
        <w:t xml:space="preserve">impacted community groups will </w:t>
      </w:r>
      <w:r>
        <w:rPr>
          <w:rFonts w:ascii="Calibri" w:hAnsi="Calibri" w:eastAsia="Calibri" w:cs="Calibri"/>
          <w:sz w:val="26"/>
          <w:szCs w:val="26"/>
        </w:rPr>
        <w:t xml:space="preserve">be able to use AI based tools to track adjudicated acts of misconduct and keep the community informed in real time. It is important for line officers and supervisors to know about this data to keep the community and officers safe and productively engaged. </w:t>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r>
      <w:r>
        <w:rPr>
          <w:rFonts w:ascii="Calibri" w:hAnsi="Calibri" w:eastAsia="Calibri" w:cs="Calibri"/>
          <w:sz w:val="26"/>
          <w:szCs w:val="26"/>
        </w:rPr>
      </w:r>
    </w:p>
    <w:p>
      <w:pPr>
        <w:pBdr/>
        <w:spacing/>
        <w:ind/>
        <w:rPr>
          <w:rFonts w:ascii="Calibri" w:hAnsi="Calibri" w:eastAsia="Calibri" w:cs="Calibri"/>
          <w:i/>
          <w:sz w:val="26"/>
          <w:szCs w:val="26"/>
        </w:rPr>
      </w:pPr>
      <w:r>
        <w:rPr>
          <w:rFonts w:ascii="Calibri" w:hAnsi="Calibri" w:eastAsia="Calibri" w:cs="Calibri"/>
          <w:i/>
          <w:sz w:val="26"/>
          <w:szCs w:val="26"/>
        </w:rPr>
        <w:t xml:space="preserve">Recommendation 12:  When investigating misconduct, CCRB and NYPD should examine and consider allegations, findings, judgments and settlements, made</w:t>
      </w:r>
      <w:r>
        <w:rPr>
          <w:rFonts w:ascii="Calibri" w:hAnsi="Calibri" w:eastAsia="Calibri" w:cs="Calibri"/>
          <w:i/>
          <w:sz w:val="26"/>
          <w:szCs w:val="26"/>
        </w:rPr>
        <w:t xml:space="preserve"> in court or before the Comptroller, for related complaints, inconsistent statements, and in assessing credibility, motive, assertions of good faith or mistake, and in identifying patterns of misconduct, as well as when recommending or imposing a penalty. </w:t>
      </w:r>
      <w:r>
        <w:rPr>
          <w:rFonts w:ascii="Calibri" w:hAnsi="Calibri" w:eastAsia="Calibri" w:cs="Calibri"/>
          <w:i/>
          <w:sz w:val="26"/>
          <w:szCs w:val="26"/>
        </w:rPr>
      </w:r>
    </w:p>
    <w:p>
      <w:pPr>
        <w:pBdr/>
        <w:spacing/>
        <w:ind/>
        <w:rPr>
          <w:rFonts w:ascii="Calibri" w:hAnsi="Calibri" w:eastAsia="Calibri" w:cs="Calibri"/>
          <w:i/>
          <w:sz w:val="26"/>
          <w:szCs w:val="26"/>
        </w:rPr>
      </w:pPr>
      <w:r>
        <w:rPr>
          <w:rFonts w:ascii="Calibri" w:hAnsi="Calibri" w:eastAsia="Calibri" w:cs="Calibri"/>
          <w:i/>
          <w:sz w:val="26"/>
          <w:szCs w:val="26"/>
        </w:rPr>
      </w:r>
      <w:r>
        <w:rPr>
          <w:rFonts w:ascii="Calibri" w:hAnsi="Calibri" w:eastAsia="Calibri" w:cs="Calibri"/>
          <w:i/>
          <w:sz w:val="26"/>
          <w:szCs w:val="26"/>
        </w:rPr>
      </w:r>
    </w:p>
    <w:p>
      <w:pPr>
        <w:pBdr/>
        <w:spacing/>
        <w:ind/>
        <w:rPr>
          <w:rFonts w:ascii="Calibri" w:hAnsi="Calibri" w:eastAsia="Calibri" w:cs="Calibri"/>
          <w:i/>
          <w:sz w:val="26"/>
          <w:szCs w:val="26"/>
        </w:rPr>
      </w:pPr>
      <w:r>
        <w:rPr>
          <w:rFonts w:ascii="Calibri" w:hAnsi="Calibri" w:eastAsia="Calibri" w:cs="Calibri"/>
          <w:i/>
          <w:sz w:val="26"/>
          <w:szCs w:val="26"/>
        </w:rPr>
        <w:t xml:space="preserve">Recommendation 13: A CCRB panel should have available upon request a complete disciplinary history of the subject officer, including all Departmental investigatio</w:t>
      </w:r>
      <w:r>
        <w:rPr>
          <w:rFonts w:ascii="Calibri" w:hAnsi="Calibri" w:eastAsia="Calibri" w:cs="Calibri"/>
          <w:i/>
          <w:sz w:val="26"/>
          <w:szCs w:val="26"/>
        </w:rPr>
        <w:t xml:space="preserve">ns, when recommending a penalty for substantiated SQFS misconduct.  The CCRB executive director should be able to obtain this history at an earlier point, upon request, during investigation, when relevant to any of the issues arising in that investigation.</w:t>
      </w:r>
      <w:r>
        <w:rPr>
          <w:rFonts w:ascii="Calibri" w:hAnsi="Calibri" w:eastAsia="Calibri" w:cs="Calibri"/>
          <w:i/>
          <w:sz w:val="26"/>
          <w:szCs w:val="26"/>
        </w:rPr>
      </w:r>
    </w:p>
    <w:p>
      <w:pPr>
        <w:pBdr/>
        <w:spacing/>
        <w:ind/>
        <w:rPr>
          <w:rFonts w:ascii="Calibri" w:hAnsi="Calibri" w:eastAsia="Calibri" w:cs="Calibri"/>
          <w:sz w:val="26"/>
          <w:szCs w:val="26"/>
        </w:rPr>
      </w:pPr>
      <w:r>
        <w:rPr>
          <w:rFonts w:ascii="Calibri" w:hAnsi="Calibri" w:eastAsia="Calibri" w:cs="Calibri"/>
          <w:sz w:val="26"/>
          <w:szCs w:val="26"/>
        </w:rPr>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t xml:space="preserve">An </w:t>
      </w:r>
      <w:r>
        <w:rPr>
          <w:rFonts w:ascii="Calibri" w:hAnsi="Calibri" w:eastAsia="Calibri" w:cs="Calibri"/>
          <w:sz w:val="26"/>
          <w:szCs w:val="26"/>
        </w:rPr>
        <w:t xml:space="preserve">officer’s </w:t>
      </w:r>
      <w:r>
        <w:rPr>
          <w:rFonts w:ascii="Calibri" w:hAnsi="Calibri" w:eastAsia="Calibri" w:cs="Calibri"/>
          <w:sz w:val="26"/>
          <w:szCs w:val="26"/>
        </w:rPr>
        <w:t xml:space="preserve">disciplinary </w:t>
      </w:r>
      <w:r>
        <w:rPr>
          <w:rFonts w:ascii="Calibri" w:hAnsi="Calibri" w:eastAsia="Calibri" w:cs="Calibri"/>
          <w:sz w:val="26"/>
          <w:szCs w:val="26"/>
        </w:rPr>
        <w:t xml:space="preserve">history </w:t>
      </w:r>
      <w:r>
        <w:rPr>
          <w:rFonts w:ascii="Calibri" w:hAnsi="Calibri" w:eastAsia="Calibri" w:cs="Calibri"/>
          <w:sz w:val="26"/>
          <w:szCs w:val="26"/>
        </w:rPr>
        <w:t xml:space="preserve">should be made available to investigators </w:t>
      </w:r>
      <w:r>
        <w:rPr>
          <w:rFonts w:ascii="Calibri" w:hAnsi="Calibri" w:eastAsia="Calibri" w:cs="Calibri"/>
          <w:sz w:val="26"/>
          <w:szCs w:val="26"/>
        </w:rPr>
        <w:t xml:space="preserve">making disciplinary determination</w:t>
      </w:r>
      <w:r>
        <w:rPr>
          <w:rFonts w:ascii="Calibri" w:hAnsi="Calibri" w:eastAsia="Calibri" w:cs="Calibri"/>
          <w:sz w:val="26"/>
          <w:szCs w:val="26"/>
        </w:rPr>
        <w:t xml:space="preserve">s. That is common sense. It is good management. It does not and should not mean that the </w:t>
      </w:r>
      <w:r>
        <w:rPr>
          <w:rFonts w:ascii="Calibri" w:hAnsi="Calibri" w:eastAsia="Calibri" w:cs="Calibri"/>
          <w:sz w:val="26"/>
          <w:szCs w:val="26"/>
        </w:rPr>
        <w:t xml:space="preserve">history </w:t>
      </w:r>
      <w:r>
        <w:rPr>
          <w:rFonts w:ascii="Calibri" w:hAnsi="Calibri" w:eastAsia="Calibri" w:cs="Calibri"/>
          <w:sz w:val="26"/>
          <w:szCs w:val="26"/>
        </w:rPr>
        <w:t xml:space="preserve">should be regarded as constituting a propensity for misconduct any more than the criminal history or prior bad acts of any accuse</w:t>
      </w:r>
      <w:r>
        <w:rPr>
          <w:rFonts w:ascii="Calibri" w:hAnsi="Calibri" w:eastAsia="Calibri" w:cs="Calibri"/>
          <w:sz w:val="26"/>
          <w:szCs w:val="26"/>
        </w:rPr>
        <w:t xml:space="preserve">d individual. There are, however, long established rules holding prior bad acts can establish motive, intent, identity, absence of mistake, modus operandi or other relevant factors. These rules should apply to police officers in disciplinary proceedings.  </w:t>
      </w:r>
      <w:r>
        <w:rPr>
          <w:rFonts w:ascii="Calibri" w:hAnsi="Calibri" w:eastAsia="Calibri" w:cs="Calibri"/>
          <w:sz w:val="26"/>
          <w:szCs w:val="26"/>
        </w:rPr>
        <w:t xml:space="preserve"> </w:t>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r>
      <w:r>
        <w:rPr>
          <w:rFonts w:ascii="Calibri" w:hAnsi="Calibri" w:eastAsia="Calibri" w:cs="Calibri"/>
          <w:sz w:val="26"/>
          <w:szCs w:val="26"/>
        </w:rPr>
      </w:r>
    </w:p>
    <w:p>
      <w:pPr>
        <w:pBdr/>
        <w:spacing/>
        <w:ind/>
        <w:rPr>
          <w:rFonts w:ascii="Calibri" w:hAnsi="Calibri" w:eastAsia="Calibri" w:cs="Calibri"/>
          <w:i/>
          <w:sz w:val="26"/>
          <w:szCs w:val="26"/>
        </w:rPr>
      </w:pPr>
      <w:r>
        <w:rPr>
          <w:rFonts w:ascii="Calibri" w:hAnsi="Calibri" w:eastAsia="Calibri" w:cs="Calibri"/>
          <w:i/>
          <w:sz w:val="26"/>
          <w:szCs w:val="26"/>
        </w:rPr>
        <w:t xml:space="preserve">Recommendation 16: When CCRB cases with SQFS allegations are “closed pending litigation,” CCRB should review the matter upon conclusion of the litigation and determine, unless opposed by the complainant, whether to re-open the matter for investigation or </w:t>
      </w:r>
      <w:r>
        <w:rPr>
          <w:rFonts w:ascii="Calibri" w:hAnsi="Calibri" w:eastAsia="Calibri" w:cs="Calibri"/>
          <w:i/>
          <w:sz w:val="26"/>
          <w:szCs w:val="26"/>
        </w:rPr>
        <w:t xml:space="preserve">recommendation.  The Law Department should send a notice to the Legal Bureau or IAB upon conclusion of litigation, when advised that a CCRB investigation was closed pending litigation.  The IAB liaison should be responsible for advising CCRB of the status.</w:t>
      </w:r>
      <w:r>
        <w:rPr>
          <w:rFonts w:ascii="Calibri" w:hAnsi="Calibri" w:eastAsia="Calibri" w:cs="Calibri"/>
          <w:i/>
          <w:sz w:val="26"/>
          <w:szCs w:val="26"/>
        </w:rPr>
      </w:r>
    </w:p>
    <w:p>
      <w:pPr>
        <w:pBdr/>
        <w:spacing/>
        <w:ind/>
        <w:rPr>
          <w:rFonts w:ascii="Calibri" w:hAnsi="Calibri" w:eastAsia="Calibri" w:cs="Calibri"/>
          <w:sz w:val="26"/>
          <w:szCs w:val="26"/>
        </w:rPr>
      </w:pPr>
      <w:r>
        <w:rPr>
          <w:rFonts w:ascii="Calibri" w:hAnsi="Calibri" w:eastAsia="Calibri" w:cs="Calibri"/>
          <w:sz w:val="26"/>
          <w:szCs w:val="26"/>
        </w:rPr>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t xml:space="preserve">Litigation should not preclude </w:t>
      </w:r>
      <w:r>
        <w:rPr>
          <w:rFonts w:ascii="Calibri" w:hAnsi="Calibri" w:eastAsia="Calibri" w:cs="Calibri"/>
          <w:sz w:val="26"/>
          <w:szCs w:val="26"/>
        </w:rPr>
        <w:t xml:space="preserve">consideration of </w:t>
      </w:r>
      <w:r>
        <w:rPr>
          <w:rFonts w:ascii="Calibri" w:hAnsi="Calibri" w:eastAsia="Calibri" w:cs="Calibri"/>
          <w:sz w:val="26"/>
          <w:szCs w:val="26"/>
        </w:rPr>
        <w:t xml:space="preserve">professional </w:t>
      </w:r>
      <w:r>
        <w:rPr>
          <w:rFonts w:ascii="Calibri" w:hAnsi="Calibri" w:eastAsia="Calibri" w:cs="Calibri"/>
          <w:sz w:val="26"/>
          <w:szCs w:val="26"/>
        </w:rPr>
        <w:t xml:space="preserve">discipline</w:t>
      </w:r>
      <w:r>
        <w:rPr>
          <w:rFonts w:ascii="Calibri" w:hAnsi="Calibri" w:eastAsia="Calibri" w:cs="Calibri"/>
          <w:sz w:val="26"/>
          <w:szCs w:val="26"/>
        </w:rPr>
        <w:t xml:space="preserve"> and it certainly shouldn’t serve to erase part of an officer’s disciplinary record within the department. NYPD and the Law Department must be able to coordinate their efforts.</w:t>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r>
      <w:r>
        <w:rPr>
          <w:rFonts w:ascii="Calibri" w:hAnsi="Calibri" w:eastAsia="Calibri" w:cs="Calibri"/>
          <w:sz w:val="26"/>
          <w:szCs w:val="26"/>
        </w:rPr>
      </w:r>
    </w:p>
    <w:p>
      <w:pPr>
        <w:pBdr/>
        <w:spacing/>
        <w:ind/>
        <w:rPr>
          <w:rFonts w:ascii="Calibri" w:hAnsi="Calibri" w:eastAsia="Calibri" w:cs="Calibri"/>
          <w:i/>
          <w:sz w:val="26"/>
          <w:szCs w:val="26"/>
        </w:rPr>
      </w:pPr>
      <w:r>
        <w:rPr>
          <w:rFonts w:ascii="Calibri" w:hAnsi="Calibri" w:eastAsia="Calibri" w:cs="Calibri"/>
          <w:i/>
          <w:sz w:val="26"/>
          <w:szCs w:val="26"/>
        </w:rPr>
        <w:t xml:space="preserve">Recommendation 24:  If the subject officer as</w:t>
      </w:r>
      <w:r>
        <w:rPr>
          <w:rFonts w:ascii="Calibri" w:hAnsi="Calibri" w:eastAsia="Calibri" w:cs="Calibri"/>
          <w:i/>
          <w:sz w:val="26"/>
          <w:szCs w:val="26"/>
        </w:rPr>
        <w:t xml:space="preserve">serts “good faith,” “inadvertence,” “mistake,” or asserts that misconduct was an “isolated” incident (under PG 212-11), the panel should have complete access to all prior investigations where an SQFS allegation was investigated at CCRB and/or within NYPD, </w:t>
      </w:r>
      <w:r>
        <w:rPr>
          <w:rFonts w:ascii="Calibri" w:hAnsi="Calibri" w:eastAsia="Calibri" w:cs="Calibri"/>
          <w:i/>
          <w:sz w:val="26"/>
          <w:szCs w:val="26"/>
        </w:rPr>
        <w:t xml:space="preserve">whether or not</w:t>
      </w:r>
      <w:r>
        <w:rPr>
          <w:rFonts w:ascii="Calibri" w:hAnsi="Calibri" w:eastAsia="Calibri" w:cs="Calibri"/>
          <w:i/>
          <w:sz w:val="26"/>
          <w:szCs w:val="26"/>
        </w:rPr>
        <w:t xml:space="preserve"> prior cases were substantiated or “sealed.” </w:t>
      </w:r>
      <w:r>
        <w:rPr>
          <w:rFonts w:ascii="Calibri" w:hAnsi="Calibri" w:eastAsia="Calibri" w:cs="Calibri"/>
          <w:i/>
          <w:sz w:val="26"/>
          <w:szCs w:val="26"/>
        </w:rPr>
      </w:r>
    </w:p>
    <w:p>
      <w:pPr>
        <w:pBdr/>
        <w:spacing/>
        <w:ind/>
        <w:rPr>
          <w:rFonts w:ascii="Calibri" w:hAnsi="Calibri" w:eastAsia="Calibri" w:cs="Calibri"/>
          <w:sz w:val="26"/>
          <w:szCs w:val="26"/>
        </w:rPr>
      </w:pPr>
      <w:r>
        <w:rPr>
          <w:rFonts w:ascii="Calibri" w:hAnsi="Calibri" w:eastAsia="Calibri" w:cs="Calibri"/>
          <w:sz w:val="26"/>
          <w:szCs w:val="26"/>
        </w:rPr>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t xml:space="preserve">T</w:t>
      </w:r>
      <w:r>
        <w:rPr>
          <w:rFonts w:ascii="Calibri" w:hAnsi="Calibri" w:eastAsia="Calibri" w:cs="Calibri"/>
          <w:sz w:val="26"/>
          <w:szCs w:val="26"/>
        </w:rPr>
        <w:t xml:space="preserve">o understand whether </w:t>
      </w:r>
      <w:r>
        <w:rPr>
          <w:rFonts w:ascii="Calibri" w:hAnsi="Calibri" w:eastAsia="Calibri" w:cs="Calibri"/>
          <w:sz w:val="26"/>
          <w:szCs w:val="26"/>
        </w:rPr>
        <w:t xml:space="preserve">an act of </w:t>
      </w:r>
      <w:r>
        <w:rPr>
          <w:rFonts w:ascii="Calibri" w:hAnsi="Calibri" w:eastAsia="Calibri" w:cs="Calibri"/>
          <w:sz w:val="26"/>
          <w:szCs w:val="26"/>
        </w:rPr>
        <w:t xml:space="preserve">misconduct is truly a good faith mistake, it is important to know whether it has happened before. When taken individually, many seeming mistakes may add up to a pattern of misconduct.</w:t>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i/>
          <w:sz w:val="26"/>
          <w:szCs w:val="26"/>
        </w:rPr>
        <w:t xml:space="preserve">Recommendation 20: “Training” as a finding should be individualized, addressing the specific circumstances of SQFS misconduct, performed in-person (not video), and completed within a reasonably short period of time after the misconduct finding is finalized</w:t>
      </w:r>
      <w:r>
        <w:rPr>
          <w:rFonts w:ascii="Calibri" w:hAnsi="Calibri" w:eastAsia="Calibri" w:cs="Calibri"/>
          <w:sz w:val="26"/>
          <w:szCs w:val="26"/>
        </w:rPr>
        <w:t xml:space="preserve">.</w:t>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t xml:space="preserve">The issue of training is another area where the use of AI tools can be extremely beneficial to NYPD. Perhaps the most impressive and scientifically sound training initiative we have seen </w:t>
      </w:r>
      <w:r>
        <w:rPr>
          <w:rFonts w:ascii="Calibri" w:hAnsi="Calibri" w:eastAsia="Calibri" w:cs="Calibri"/>
          <w:sz w:val="26"/>
          <w:szCs w:val="26"/>
        </w:rPr>
        <w:t xml:space="preserve">in the area of</w:t>
      </w:r>
      <w:r>
        <w:rPr>
          <w:rFonts w:ascii="Calibri" w:hAnsi="Calibri" w:eastAsia="Calibri" w:cs="Calibri"/>
          <w:sz w:val="26"/>
          <w:szCs w:val="26"/>
        </w:rPr>
        <w:t xml:space="preserve"> police “stops” is the work of Professor Jennifer Eberhardt and Dr. Dan </w:t>
      </w:r>
      <w:r>
        <w:rPr>
          <w:rFonts w:ascii="Calibri" w:hAnsi="Calibri" w:eastAsia="Calibri" w:cs="Calibri"/>
          <w:sz w:val="26"/>
          <w:szCs w:val="26"/>
        </w:rPr>
        <w:t xml:space="preserve">Jurafsky</w:t>
      </w:r>
      <w:r>
        <w:rPr>
          <w:rFonts w:ascii="Calibri" w:hAnsi="Calibri" w:eastAsia="Calibri" w:cs="Calibri"/>
          <w:sz w:val="26"/>
          <w:szCs w:val="26"/>
        </w:rPr>
        <w:t xml:space="preserve">. </w:t>
      </w:r>
      <w:r>
        <w:rPr>
          <w:rFonts w:ascii="Calibri" w:hAnsi="Calibri" w:eastAsia="Calibri" w:cs="Calibri"/>
          <w:sz w:val="26"/>
          <w:szCs w:val="26"/>
        </w:rPr>
        <w:t xml:space="preserve">Along with colleagues they have published two</w:t>
      </w:r>
      <w:r>
        <w:rPr>
          <w:rFonts w:ascii="Calibri" w:hAnsi="Calibri" w:eastAsia="Calibri" w:cs="Calibri"/>
          <w:sz w:val="26"/>
          <w:szCs w:val="26"/>
        </w:rPr>
        <w:t xml:space="preserve"> articles in the Proceedings of the National Academy of Science that show how using body worn camera footage as “data” can identify police practices that result in bad stops and, in turn, also produce training programs that significantly reduce bad stops. </w:t>
      </w:r>
      <w:r>
        <w:rPr>
          <w:rFonts w:ascii="Calibri" w:hAnsi="Calibri" w:eastAsia="Calibri" w:cs="Calibri"/>
          <w:sz w:val="26"/>
          <w:szCs w:val="26"/>
        </w:rPr>
        <w:t xml:space="preserve">Only t</w:t>
      </w:r>
      <w:r>
        <w:rPr>
          <w:rFonts w:ascii="Calibri" w:hAnsi="Calibri" w:eastAsia="Calibri" w:cs="Calibri"/>
          <w:sz w:val="26"/>
          <w:szCs w:val="26"/>
        </w:rPr>
        <w:t xml:space="preserve">he advent of AI tools to analyze the body camera footage made this research possible. </w:t>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t xml:space="preserve">The first study</w:t>
      </w:r>
      <w:r>
        <w:rPr>
          <w:rFonts w:ascii="Calibri" w:hAnsi="Calibri" w:eastAsia="Calibri" w:cs="Calibri"/>
          <w:sz w:val="26"/>
          <w:szCs w:val="26"/>
        </w:rPr>
        <w:t xml:space="preserve"> </w:t>
      </w:r>
      <w:r>
        <w:rPr>
          <w:rFonts w:ascii="Calibri" w:hAnsi="Calibri" w:eastAsia="Calibri" w:cs="Calibri"/>
          <w:sz w:val="26"/>
          <w:szCs w:val="26"/>
        </w:rPr>
        <w:t xml:space="preserve">involved 1,440 stops of white and Black drivers by Oakland police officers in April 2014 conducted by 2435 different officers. From 183 hours of footage from these interactions, and using computational linguistic methods, researchers were able to extract p</w:t>
      </w:r>
      <w:r>
        <w:rPr>
          <w:rFonts w:ascii="Calibri" w:hAnsi="Calibri" w:eastAsia="Calibri" w:cs="Calibri"/>
          <w:sz w:val="26"/>
          <w:szCs w:val="26"/>
        </w:rPr>
        <w:t xml:space="preserve">atterns of interaction showing officers spoke with consistently less respect to Black versus white community members, even after controlling for the race of the officer, the severity of the infraction, the location of the stop, and the outcome of the stop.</w:t>
      </w:r>
      <w:r>
        <w:rPr>
          <w:rStyle w:val="938"/>
          <w:rFonts w:ascii="Calibri" w:hAnsi="Calibri" w:eastAsia="Calibri" w:cs="Calibri"/>
          <w:sz w:val="26"/>
          <w:szCs w:val="26"/>
        </w:rPr>
        <w:footnoteReference w:id="7"/>
      </w:r>
      <w:r>
        <w:rPr>
          <w:rFonts w:ascii="Calibri" w:hAnsi="Calibri" w:eastAsia="Calibri" w:cs="Calibri"/>
          <w:sz w:val="26"/>
          <w:szCs w:val="26"/>
        </w:rPr>
        <w:t xml:space="preserve">  The second study published in September of this year shows how a procedural training program derived from the first study helped police officers actually improve their interactions with community members using five behavioral modifications: (</w:t>
      </w:r>
      <w:r>
        <w:rPr>
          <w:rFonts w:ascii="Calibri" w:hAnsi="Calibri" w:eastAsia="Calibri" w:cs="Calibri"/>
          <w:sz w:val="26"/>
          <w:szCs w:val="26"/>
        </w:rPr>
        <w:t xml:space="preserve">i</w:t>
      </w:r>
      <w:r>
        <w:rPr>
          <w:rFonts w:ascii="Calibri" w:hAnsi="Calibri" w:eastAsia="Calibri" w:cs="Calibri"/>
          <w:sz w:val="26"/>
          <w:szCs w:val="26"/>
        </w:rPr>
        <w:t xml:space="preserve">) Begin the stop by greeting the driver and introducing themselves; (ii) explicitly state the legal justification for the stop early in the encounter; (iii) express concern for driver safety; (iv)reassure the driver during </w:t>
      </w:r>
      <w:r>
        <w:rPr>
          <w:rFonts w:ascii="Calibri" w:hAnsi="Calibri" w:eastAsia="Calibri" w:cs="Calibri"/>
          <w:sz w:val="26"/>
          <w:szCs w:val="26"/>
        </w:rPr>
        <w:t xml:space="preserve">the interaction; and (v) using formal rather than informal titles when addressing the driver.</w:t>
      </w:r>
      <w:r>
        <w:rPr>
          <w:rStyle w:val="938"/>
          <w:rFonts w:ascii="Calibri" w:hAnsi="Calibri" w:eastAsia="Calibri" w:cs="Calibri"/>
          <w:sz w:val="26"/>
          <w:szCs w:val="26"/>
        </w:rPr>
        <w:footnoteReference w:id="8"/>
      </w:r>
      <w:r>
        <w:rPr>
          <w:rFonts w:ascii="Calibri" w:hAnsi="Calibri" w:eastAsia="Calibri" w:cs="Calibri"/>
          <w:sz w:val="26"/>
          <w:szCs w:val="26"/>
        </w:rPr>
        <w:t xml:space="preserve"> Post-training assessments from body cam footage showed that officers followed the </w:t>
      </w:r>
      <w:r>
        <w:rPr>
          <w:rFonts w:ascii="Calibri" w:hAnsi="Calibri" w:eastAsia="Calibri" w:cs="Calibri"/>
          <w:sz w:val="26"/>
          <w:szCs w:val="26"/>
        </w:rPr>
        <w:t xml:space="preserve">training regardless of the race of the driver except for the use of formal rather than informal titles. This kind of rigorous scientific research using body cam footage as data could certainly be done to improve SQFS encounters in New York, both a study of</w:t>
      </w:r>
      <w:r>
        <w:rPr>
          <w:rFonts w:ascii="Calibri" w:hAnsi="Calibri" w:eastAsia="Calibri" w:cs="Calibri"/>
          <w:sz w:val="26"/>
          <w:szCs w:val="26"/>
        </w:rPr>
        <w:t xml:space="preserve"> current practice and then a study of an effective training procedure. There is no reason to believe the method would not work for in-person stops versus vehicle stops, but if there were significant differences, that would, itself, be important to know.   </w:t>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t xml:space="preserve">We appreciate the opportunity to submit comment and look forward to </w:t>
      </w:r>
      <w:r>
        <w:rPr>
          <w:rFonts w:ascii="Calibri" w:hAnsi="Calibri" w:eastAsia="Calibri" w:cs="Calibri"/>
          <w:sz w:val="26"/>
          <w:szCs w:val="26"/>
        </w:rPr>
        <w:t xml:space="preserve">contnued</w:t>
      </w:r>
      <w:r>
        <w:rPr>
          <w:rFonts w:ascii="Calibri" w:hAnsi="Calibri" w:eastAsia="Calibri" w:cs="Calibri"/>
          <w:sz w:val="26"/>
          <w:szCs w:val="26"/>
        </w:rPr>
        <w:t xml:space="preserve"> efforts to reduce wrongful convictions </w:t>
      </w:r>
      <w:r>
        <w:rPr>
          <w:rFonts w:ascii="Calibri" w:hAnsi="Calibri" w:eastAsia="Calibri" w:cs="Calibri"/>
          <w:sz w:val="26"/>
          <w:szCs w:val="26"/>
        </w:rPr>
        <w:t xml:space="preserve">through the identification and remediation of law enforcement misconduct. </w:t>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t xml:space="preserve">Respectfully submitted,</w:t>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t xml:space="preserve">Amanda Wallwin, Policy Advocate</w:t>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t xml:space="preserve">Barry Scheck, Co-Founder and Special Counsel</w:t>
      </w:r>
      <w:r>
        <w:rPr>
          <w:rFonts w:ascii="Calibri" w:hAnsi="Calibri" w:eastAsia="Calibri" w:cs="Calibri"/>
          <w:sz w:val="26"/>
          <w:szCs w:val="26"/>
        </w:rPr>
      </w:r>
    </w:p>
    <w:p>
      <w:pPr>
        <w:pBdr/>
        <w:spacing/>
        <w:ind/>
        <w:rPr>
          <w:rFonts w:ascii="Calibri" w:hAnsi="Calibri" w:eastAsia="Calibri" w:cs="Calibri"/>
          <w:sz w:val="26"/>
          <w:szCs w:val="26"/>
        </w:rPr>
      </w:pPr>
      <w:r>
        <w:rPr>
          <w:rFonts w:ascii="Calibri" w:hAnsi="Calibri" w:eastAsia="Calibri" w:cs="Calibri"/>
          <w:sz w:val="26"/>
          <w:szCs w:val="26"/>
        </w:rPr>
        <w:t xml:space="preserve">Walter Katz, Director of Policy</w:t>
      </w:r>
      <w:r>
        <w:rPr>
          <w:rFonts w:ascii="Calibri" w:hAnsi="Calibri" w:eastAsia="Calibri" w:cs="Calibri"/>
          <w:sz w:val="26"/>
          <w:szCs w:val="26"/>
        </w:rPr>
      </w:r>
      <w:r>
        <w:rPr>
          <w:rFonts w:ascii="Calibri" w:hAnsi="Calibri" w:eastAsia="Calibri" w:cs="Calibri"/>
          <w:sz w:val="26"/>
          <w:szCs w:val="26"/>
        </w:rPr>
      </w:r>
      <w:r>
        <w:rPr>
          <w:rFonts w:ascii="Calibri" w:hAnsi="Calibri" w:eastAsia="Calibri" w:cs="Calibri"/>
          <w:sz w:val="26"/>
          <w:szCs w:val="26"/>
        </w:rPr>
      </w:r>
      <w:r>
        <w:rPr>
          <w:rFonts w:ascii="Calibri" w:hAnsi="Calibri" w:eastAsia="Calibri" w:cs="Calibri"/>
          <w:sz w:val="26"/>
          <w:szCs w:val="26"/>
        </w:rPr>
      </w:r>
    </w:p>
    <w:sectPr>
      <w:headerReference w:type="default" r:id="rId8"/>
      <w:headerReference w:type="first" r:id="rId9"/>
      <w:footerReference w:type="default" r:id="rId10"/>
      <w:footerReference w:type="first" r:id="rId11"/>
      <w:footnotePr/>
      <w:endnotePr/>
      <w:type w:val="nextPage"/>
      <w:pgSz w:h="15840" w:orient="portrait" w:w="12240"/>
      <w:pgMar w:top="1296" w:right="1296" w:bottom="1296" w:left="1296" w:header="720" w:footer="720" w:gutter="0"/>
      <w:pgNumType w:start="1"/>
      <w:cols w:num="1" w:sep="0" w:space="720"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line="240" w:lineRule="auto"/>
        <w:ind/>
        <w:rPr/>
      </w:pPr>
      <w:r>
        <w:separator/>
      </w:r>
      <w:r/>
    </w:p>
  </w:endnote>
  <w:endnote w:type="continuationSeparator" w:id="0">
    <w:p>
      <w:pPr>
        <w:pBdr/>
        <w:spacing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Arial">
    <w:panose1 w:val="020B0604020202020204"/>
  </w:font>
  <w:font w:name="Open Sans">
    <w:panose1 w:val="020B0606030504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60" w:lineRule="auto"/>
      <w:ind/>
      <w:rPr>
        <w:rFonts w:ascii="Arial" w:hAnsi="Arial" w:eastAsia="Arial" w:cs="Arial"/>
        <w:sz w:val="16"/>
        <w:szCs w:val="16"/>
      </w:rPr>
    </w:pPr>
    <w:r>
      <w:rPr>
        <w:rFonts w:ascii="Arial" w:hAnsi="Arial" w:eastAsia="Arial" w:cs="Arial"/>
        <w:sz w:val="16"/>
        <w:szCs w:val="16"/>
      </w:rPr>
    </w:r>
    <w:r>
      <w:rPr>
        <w:rFonts w:ascii="Arial" w:hAnsi="Arial" w:eastAsia="Arial" w:cs="Arial"/>
        <w:sz w:val="16"/>
        <w:szCs w:val="16"/>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line="360" w:lineRule="auto"/>
      <w:ind/>
      <w:jc w:val="center"/>
      <w:rPr>
        <w:rFonts w:ascii="Arial" w:hAnsi="Arial" w:eastAsia="Arial" w:cs="Arial"/>
        <w:color w:val="7f7f7f"/>
        <w:sz w:val="16"/>
        <w:szCs w:val="16"/>
      </w:rPr>
    </w:pPr>
    <w:r>
      <w:rPr>
        <w:rFonts w:ascii="Arial" w:hAnsi="Arial" w:eastAsia="Arial" w:cs="Arial"/>
        <w:color w:val="7f7f7f"/>
        <w:sz w:val="16"/>
        <w:szCs w:val="16"/>
      </w:rPr>
      <w:t xml:space="preserve">T 212 364 5340      F 212 364 5341      innocenceproject.org      40 Worth Street, Suite 701, New York, NY 10013</w:t>
    </w:r>
    <w:r>
      <w:rPr>
        <w:rFonts w:ascii="Arial" w:hAnsi="Arial" w:eastAsia="Arial" w:cs="Arial"/>
        <w:color w:val="7f7f7f"/>
        <w:sz w:val="16"/>
        <w:szCs w:val="16"/>
      </w:rPr>
    </w:r>
  </w:p>
  <w:p>
    <w:pPr>
      <w:pBdr/>
      <w:spacing w:line="360" w:lineRule="auto"/>
      <w:ind/>
      <w:jc w:val="center"/>
      <w:rPr>
        <w:rFonts w:ascii="Arial" w:hAnsi="Arial" w:eastAsia="Arial" w:cs="Arial"/>
        <w:color w:val="7f7f7f"/>
        <w:sz w:val="16"/>
        <w:szCs w:val="16"/>
      </w:rPr>
    </w:pPr>
    <w:r>
      <w:rPr>
        <w:rFonts w:ascii="Arial" w:hAnsi="Arial" w:eastAsia="Arial" w:cs="Arial"/>
        <w:color w:val="7f7f7f"/>
        <w:sz w:val="16"/>
        <w:szCs w:val="16"/>
      </w:rPr>
    </w:r>
    <w:r>
      <w:rPr>
        <w:rFonts w:ascii="Arial" w:hAnsi="Arial" w:eastAsia="Arial" w:cs="Arial"/>
        <w:color w:val="7f7f7f"/>
        <w:sz w:val="16"/>
        <w:szCs w:val="16"/>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line="240" w:lineRule="auto"/>
        <w:ind/>
        <w:rPr/>
      </w:pPr>
      <w:r>
        <w:separator/>
      </w:r>
      <w:r/>
    </w:p>
  </w:footnote>
  <w:footnote w:type="continuationSeparator" w:id="0">
    <w:p>
      <w:pPr>
        <w:pBdr/>
        <w:spacing w:line="240" w:lineRule="auto"/>
        <w:ind/>
        <w:rPr/>
      </w:pPr>
      <w:r>
        <w:continuationSeparator/>
      </w:r>
      <w:r/>
    </w:p>
  </w:footnote>
  <w:footnote w:id="2">
    <w:p>
      <w:pPr>
        <w:pStyle w:val="936"/>
        <w:pBdr/>
        <w:spacing/>
        <w:ind/>
        <w:rPr>
          <w:lang w:val="en-US"/>
        </w:rPr>
      </w:pPr>
      <w:r>
        <w:rPr>
          <w:rStyle w:val="938"/>
        </w:rPr>
        <w:footnoteRef/>
      </w:r>
      <w:r>
        <w:t xml:space="preserve"> </w:t>
      </w:r>
      <w:r>
        <w:rPr>
          <w:lang w:val="en-US"/>
        </w:rPr>
        <w:t xml:space="preserve">The use of tax identification and social security numbers to be “unique identifiers” in New York is an ill-considered system because of the obvious privacy risks it creates for law enforcement personnel.  </w:t>
      </w:r>
      <w:r>
        <w:rPr>
          <w:lang w:val="en-US"/>
        </w:rPr>
      </w:r>
    </w:p>
  </w:footnote>
  <w:footnote w:id="3">
    <w:p>
      <w:pPr>
        <w:pStyle w:val="936"/>
        <w:pBdr/>
        <w:spacing/>
        <w:ind/>
        <w:rPr>
          <w:lang w:val="en-US"/>
        </w:rPr>
      </w:pPr>
      <w:r>
        <w:rPr>
          <w:rStyle w:val="938"/>
        </w:rPr>
        <w:footnoteRef/>
      </w:r>
      <w:r>
        <w:t xml:space="preserve"> </w:t>
      </w:r>
      <w:r>
        <w:t xml:space="preserve">On January 1, </w:t>
      </w:r>
      <w:r>
        <w:t xml:space="preserve">2022</w:t>
      </w:r>
      <w:r>
        <w:t xml:space="preserve"> California enacted a certification and de-certification system for all police and correction officers. Cal. Penal Code Section 13510.1</w:t>
      </w:r>
      <w:r>
        <w:t xml:space="preserve"> et. seq. Simply put, all police and correction officers get a license and can be de-certified if they commit one of nine “serious acts of misconduct.” The same disciplinary rules apply across the board for over 700 law enforcement entities in the state.  </w:t>
      </w:r>
      <w:r>
        <w:rPr>
          <w:lang w:val="en-US"/>
        </w:rPr>
      </w:r>
    </w:p>
  </w:footnote>
  <w:footnote w:id="4">
    <w:p>
      <w:pPr>
        <w:pBdr/>
        <w:spacing w:line="240" w:lineRule="auto"/>
        <w:ind/>
        <w:rPr>
          <w:sz w:val="20"/>
          <w:szCs w:val="20"/>
        </w:rPr>
      </w:pPr>
      <w:r>
        <w:rPr>
          <w:vertAlign w:val="superscript"/>
        </w:rPr>
        <w:footnoteRef/>
      </w:r>
      <w:r>
        <w:rPr>
          <w:sz w:val="20"/>
          <w:szCs w:val="20"/>
        </w:rPr>
        <w:t xml:space="preserve"> Laurie Roberts, “Where Were You When the Lights Went Out in New York City?”: Police Disciplinary Histories and Wrongful Convictions in the Big Apple, 44 </w:t>
      </w:r>
      <w:r>
        <w:rPr>
          <w:i/>
          <w:sz w:val="20"/>
          <w:szCs w:val="20"/>
        </w:rPr>
        <w:t xml:space="preserve">Amicus Journal</w:t>
      </w:r>
      <w:r>
        <w:rPr>
          <w:sz w:val="20"/>
          <w:szCs w:val="20"/>
        </w:rPr>
        <w:t xml:space="preserve"> 29 (2023).</w:t>
      </w:r>
      <w:r>
        <w:rPr>
          <w:sz w:val="20"/>
          <w:szCs w:val="20"/>
        </w:rPr>
      </w:r>
    </w:p>
  </w:footnote>
  <w:footnote w:id="5">
    <w:p>
      <w:pPr>
        <w:pStyle w:val="936"/>
        <w:pBdr/>
        <w:spacing/>
        <w:ind/>
        <w:rPr>
          <w:lang w:val="en-US"/>
        </w:rPr>
      </w:pPr>
      <w:r>
        <w:rPr>
          <w:rStyle w:val="938"/>
        </w:rPr>
        <w:footnoteRef/>
      </w:r>
      <w:r>
        <w:t xml:space="preserve"> </w:t>
      </w:r>
      <w:r>
        <w:rPr>
          <w:lang w:val="en-US"/>
        </w:rPr>
        <w:t xml:space="preserve">Jain, Sinclair, &amp; </w:t>
      </w:r>
      <w:r>
        <w:rPr>
          <w:lang w:val="en-US"/>
        </w:rPr>
        <w:t xml:space="preserve">Papachristo</w:t>
      </w:r>
      <w:r>
        <w:rPr>
          <w:lang w:val="en-US"/>
        </w:rPr>
        <w:t xml:space="preserve">, Identifying misconduct-committing officer crews in the Chicago police department. </w:t>
      </w:r>
      <w:r>
        <w:rPr>
          <w:lang w:val="en-US"/>
        </w:rPr>
        <w:t xml:space="preserve">PLosOne</w:t>
      </w:r>
      <w:r>
        <w:rPr>
          <w:lang w:val="en-US"/>
        </w:rPr>
        <w:t xml:space="preserve"> 17(5): e0267217. </w:t>
      </w:r>
      <w:hyperlink r:id="rId1" w:tooltip="https://doi.org/10.1371/journal.pone.0267217" w:history="1">
        <w:r>
          <w:rPr>
            <w:rStyle w:val="939"/>
            <w:lang w:val="en-US"/>
          </w:rPr>
          <w:t xml:space="preserve">https://doi.org/10.1371/journal.pone.0267217</w:t>
        </w:r>
      </w:hyperlink>
      <w:r>
        <w:rPr>
          <w:lang w:val="en-US"/>
        </w:rPr>
        <w:t xml:space="preserve">, published May 4, 2022.</w:t>
      </w:r>
      <w:r>
        <w:rPr>
          <w:lang w:val="en-US"/>
        </w:rPr>
      </w:r>
    </w:p>
  </w:footnote>
  <w:footnote w:id="6">
    <w:p>
      <w:pPr>
        <w:pStyle w:val="936"/>
        <w:pBdr/>
        <w:spacing/>
        <w:ind/>
        <w:rPr>
          <w:lang w:val="en-US"/>
        </w:rPr>
      </w:pPr>
      <w:r>
        <w:rPr>
          <w:rStyle w:val="938"/>
        </w:rPr>
        <w:footnoteRef/>
      </w:r>
      <w:r>
        <w:t xml:space="preserve"> </w:t>
      </w:r>
      <w:r>
        <w:rPr>
          <w:rFonts w:ascii="Calibri" w:hAnsi="Calibri" w:eastAsia="Calibri" w:cs="Calibri"/>
          <w:sz w:val="26"/>
          <w:szCs w:val="26"/>
        </w:rPr>
        <w:t xml:space="preserve">A paper published this month by Bocar Ba, </w:t>
      </w:r>
      <w:r>
        <w:rPr>
          <w:rFonts w:ascii="Calibri" w:hAnsi="Calibri" w:eastAsia="Calibri" w:cs="Calibri"/>
          <w:sz w:val="26"/>
          <w:szCs w:val="26"/>
        </w:rPr>
        <w:t xml:space="preserve">Nayoung</w:t>
      </w:r>
      <w:r>
        <w:rPr>
          <w:rFonts w:ascii="Calibri" w:hAnsi="Calibri" w:eastAsia="Calibri" w:cs="Calibri"/>
          <w:sz w:val="26"/>
          <w:szCs w:val="26"/>
        </w:rPr>
        <w:t xml:space="preserve"> Rim, and Ro</w:t>
      </w:r>
      <w:r>
        <w:rPr>
          <w:rFonts w:ascii="Calibri" w:hAnsi="Calibri" w:eastAsia="Calibri" w:cs="Calibri"/>
          <w:sz w:val="26"/>
          <w:szCs w:val="26"/>
        </w:rPr>
        <w:t xml:space="preserve">man Rivera for the National Bureau of Economic Research entitled “The Relationship Between Officer Misconduct and Conviction-Less Arrests” dives deeper, again using Chicago data that tracks “unsubstantiated” allegations of misconduct. Working Paper 33276, </w:t>
      </w:r>
      <w:r>
        <w:rPr>
          <w:rFonts w:ascii="Calibri" w:hAnsi="Calibri" w:eastAsia="Calibri" w:cs="Calibri"/>
          <w:sz w:val="26"/>
          <w:szCs w:val="26"/>
        </w:rPr>
      </w:r>
      <w:r>
        <w:rPr>
          <w:rFonts w:ascii="Calibri" w:hAnsi="Calibri" w:eastAsia="Calibri" w:cs="Calibri"/>
          <w:sz w:val="26"/>
          <w:szCs w:val="26"/>
        </w:rPr>
        <w:t xml:space="preserve">https://www.nber.org/papers/w33276</w:t>
      </w:r>
      <w:r>
        <w:rPr>
          <w:rFonts w:ascii="Calibri" w:hAnsi="Calibri" w:eastAsia="Calibri" w:cs="Calibri"/>
          <w:sz w:val="26"/>
          <w:szCs w:val="26"/>
        </w:rPr>
        <w:t xml:space="preserve">. This paper finds that arrests made by officers with high misconduct records are 10.5% less likely than arrests made by no-misconduct of</w:t>
      </w:r>
      <w:r>
        <w:rPr>
          <w:rFonts w:ascii="Calibri" w:hAnsi="Calibri" w:eastAsia="Calibri" w:cs="Calibri"/>
          <w:sz w:val="26"/>
          <w:szCs w:val="26"/>
        </w:rPr>
        <w:t xml:space="preserve">ficers to result in charges and are 14% more likely to have a “Not Guilty” outcome. They also find that increased transparency of police misconduct through public disclosure of complaint records and increased oversight reduces conviction-less arrests.     </w:t>
      </w:r>
      <w:r>
        <w:rPr>
          <w:lang w:val="en-US"/>
        </w:rPr>
      </w:r>
    </w:p>
  </w:footnote>
  <w:footnote w:id="7">
    <w:p>
      <w:pPr>
        <w:pStyle w:val="936"/>
        <w:pBdr/>
        <w:spacing/>
        <w:ind/>
        <w:rPr>
          <w:lang w:val="en-US"/>
        </w:rPr>
      </w:pPr>
      <w:r>
        <w:rPr>
          <w:rStyle w:val="938"/>
        </w:rPr>
        <w:footnoteRef/>
      </w:r>
      <w:r>
        <w:t xml:space="preserve"> </w:t>
      </w:r>
      <w:r>
        <w:rPr>
          <w:lang w:val="en-US"/>
        </w:rPr>
        <w:t xml:space="preserve">“Language from police body worn camera footage shows racial disparities in officer respect,” Voight, Camp, </w:t>
      </w:r>
      <w:r>
        <w:rPr>
          <w:lang w:val="en-US"/>
        </w:rPr>
        <w:t xml:space="preserve">Prabhakran</w:t>
      </w:r>
      <w:r>
        <w:rPr>
          <w:lang w:val="en-US"/>
        </w:rPr>
        <w:t xml:space="preserve">, and Eberhardt. June 5, 2017. </w:t>
      </w:r>
      <w:hyperlink r:id="rId2" w:tooltip="https://doi.org/10.1073/pnas.1702413114" w:history="1">
        <w:r>
          <w:rPr>
            <w:rStyle w:val="939"/>
            <w:lang w:val="en-US"/>
          </w:rPr>
          <w:t xml:space="preserve">https://doi.org/10.1073/pnas.1702413114</w:t>
        </w:r>
      </w:hyperlink>
      <w:r>
        <w:rPr>
          <w:lang w:val="en-US"/>
        </w:rPr>
        <w:t xml:space="preserve">.</w:t>
      </w:r>
      <w:r>
        <w:rPr>
          <w:lang w:val="en-US"/>
        </w:rPr>
      </w:r>
    </w:p>
    <w:p>
      <w:pPr>
        <w:pStyle w:val="936"/>
        <w:pBdr/>
        <w:spacing/>
        <w:ind/>
        <w:rPr>
          <w:lang w:val="en-US"/>
        </w:rPr>
      </w:pPr>
      <w:r>
        <w:rPr>
          <w:lang w:val="en-US"/>
        </w:rPr>
      </w:r>
      <w:r>
        <w:rPr>
          <w:lang w:val="en-US"/>
        </w:rPr>
      </w:r>
    </w:p>
  </w:footnote>
  <w:footnote w:id="8">
    <w:p>
      <w:pPr>
        <w:pStyle w:val="936"/>
        <w:pBdr/>
        <w:spacing/>
        <w:ind/>
        <w:rPr>
          <w:lang w:val="en-US"/>
        </w:rPr>
      </w:pPr>
      <w:r>
        <w:rPr>
          <w:rStyle w:val="938"/>
        </w:rPr>
        <w:footnoteRef/>
      </w:r>
      <w:r>
        <w:t xml:space="preserve"> </w:t>
      </w:r>
      <w:r>
        <w:rPr>
          <w:lang w:val="en-US"/>
        </w:rPr>
        <w:t xml:space="preserve">“Leveraging body-worn camera footage to assess the effects of training on </w:t>
      </w:r>
      <w:r>
        <w:rPr>
          <w:lang w:val="en-US"/>
        </w:rPr>
        <w:t xml:space="preserve">cofficer</w:t>
      </w:r>
      <w:r>
        <w:rPr>
          <w:lang w:val="en-US"/>
        </w:rPr>
        <w:t xml:space="preserve"> communication during traffic stops,” Camp, Voigt, </w:t>
      </w:r>
      <w:r>
        <w:rPr>
          <w:lang w:val="en-US"/>
        </w:rPr>
        <w:t xml:space="preserve">Hamedani</w:t>
      </w:r>
      <w:r>
        <w:rPr>
          <w:lang w:val="en-US"/>
        </w:rPr>
        <w:t xml:space="preserve">, </w:t>
      </w:r>
      <w:r>
        <w:rPr>
          <w:lang w:val="en-US"/>
        </w:rPr>
        <w:t xml:space="preserve">Jurafsky</w:t>
      </w:r>
      <w:r>
        <w:rPr>
          <w:lang w:val="en-US"/>
        </w:rPr>
        <w:t xml:space="preserve">, and Eberhardt. September17 2024. </w:t>
      </w:r>
      <w:hyperlink r:id="rId3" w:tooltip="https://doi.org/10.1093/pnasnexus/page359" w:history="1">
        <w:r>
          <w:rPr>
            <w:rStyle w:val="939"/>
            <w:lang w:val="en-US"/>
          </w:rPr>
          <w:t xml:space="preserve">https://doi.org/10.1093/pnasnexus/page359</w:t>
        </w:r>
      </w:hyperlink>
      <w:r>
        <w:rPr>
          <w:lang w:val="en-US"/>
        </w:rPr>
        <w:t xml:space="preserve">. </w:t>
      </w:r>
      <w:r>
        <w:rPr>
          <w:lang w:val="en-US"/>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top w:val="none" w:color="000000" w:sz="4" w:space="0"/>
        <w:left w:val="none" w:color="000000" w:sz="4" w:space="0"/>
        <w:bottom w:val="none" w:color="000000" w:sz="4" w:space="0"/>
        <w:right w:val="none" w:color="000000" w:sz="4" w:space="0"/>
        <w:between w:val="none" w:color="000000" w:sz="4" w:space="0"/>
      </w:pBdr>
      <w:tabs>
        <w:tab w:val="center" w:leader="none" w:pos="4680"/>
        <w:tab w:val="right" w:leader="none" w:pos="9360"/>
      </w:tabs>
      <w:spacing w:line="240" w:lineRule="auto"/>
      <w:ind/>
      <w:rPr>
        <w:rFonts w:ascii="Arial" w:hAnsi="Arial" w:eastAsia="Arial" w:cs="Arial"/>
        <w:color w:val="7f7f7f"/>
      </w:rPr>
    </w:pPr>
    <w:r>
      <w:rPr>
        <w:rFonts w:ascii="Arial" w:hAnsi="Arial" w:eastAsia="Arial" w:cs="Arial"/>
        <w:color w:val="7f7f7f"/>
      </w:rPr>
      <w:t xml:space="preserve">Page </w:t>
    </w:r>
    <w:r>
      <w:rPr>
        <w:rFonts w:ascii="Arial" w:hAnsi="Arial" w:eastAsia="Arial" w:cs="Arial"/>
        <w:color w:val="7f7f7f"/>
      </w:rPr>
      <w:fldChar w:fldCharType="begin"/>
    </w:r>
    <w:r>
      <w:rPr>
        <w:rFonts w:ascii="Arial" w:hAnsi="Arial" w:eastAsia="Arial" w:cs="Arial"/>
        <w:color w:val="7f7f7f"/>
      </w:rPr>
      <w:instrText xml:space="preserve">PAGE</w:instrText>
    </w:r>
    <w:r>
      <w:rPr>
        <w:rFonts w:ascii="Arial" w:hAnsi="Arial" w:eastAsia="Arial" w:cs="Arial"/>
        <w:color w:val="7f7f7f"/>
      </w:rPr>
      <w:fldChar w:fldCharType="separate"/>
    </w:r>
    <w:r>
      <w:rPr>
        <w:rFonts w:ascii="Arial" w:hAnsi="Arial" w:eastAsia="Arial" w:cs="Arial"/>
        <w:color w:val="7f7f7f"/>
      </w:rPr>
      <w:t xml:space="preserve">2</w:t>
    </w:r>
    <w:r>
      <w:rPr>
        <w:rFonts w:ascii="Arial" w:hAnsi="Arial" w:eastAsia="Arial" w:cs="Arial"/>
        <w:color w:val="7f7f7f"/>
      </w:rPr>
      <w:fldChar w:fldCharType="end"/>
    </w:r>
    <w:r>
      <w:rPr>
        <w:rFonts w:ascii="Arial" w:hAnsi="Arial" w:eastAsia="Arial" w:cs="Arial"/>
        <w:color w:val="7f7f7f"/>
      </w:rPr>
    </w:r>
  </w:p>
  <w:p>
    <w:pPr>
      <w:pBdr/>
      <w:spacing/>
      <w:ind/>
      <w:rPr>
        <w:sz w:val="16"/>
        <w:szCs w:val="16"/>
      </w:rPr>
    </w:pPr>
    <w:r>
      <w:rPr>
        <w:sz w:val="16"/>
        <w:szCs w:val="16"/>
      </w:rPr>
    </w:r>
    <w:r>
      <w:rPr>
        <w:sz w:val="16"/>
        <w:szCs w:val="16"/>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rPr>
        <w:b/>
        <w:sz w:val="16"/>
        <w:szCs w:val="16"/>
      </w:rPr>
    </w:pPr>
    <w:r>
      <w:rPr>
        <w:b/>
        <w:sz w:val="16"/>
        <w:szCs w:val="16"/>
      </w:rPr>
    </w:r>
    <w:r>
      <w:rPr>
        <w:b/>
        <w:sz w:val="16"/>
        <w:szCs w:val="16"/>
      </w:rPr>
    </w:r>
  </w:p>
  <w:tbl>
    <w:tblPr>
      <w:tblStyle w:val="935"/>
      <w:tblW w:w="9630" w:type="dxa"/>
      <w:jc w:val="righ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960"/>
      <w:gridCol w:w="2670"/>
    </w:tblGrid>
    <w:tr>
      <w:trPr>
        <w:jc w:val="right"/>
        <w:trHeight w:val="1455"/>
      </w:trPr>
      <w:tc>
        <w:tcPr>
          <w:shd w:val="clear" w:color="auto" w:fill="auto"/>
          <w:tcBorders>
            <w:top w:val="single" w:color="ffffff" w:sz="8" w:space="0"/>
            <w:left w:val="single" w:color="ffffff" w:sz="8" w:space="0"/>
            <w:bottom w:val="single" w:color="ffffff" w:sz="8" w:space="0"/>
            <w:right w:val="single" w:color="ffffff" w:sz="8" w:space="0"/>
          </w:tcBorders>
          <w:tcMar>
            <w:left w:w="100" w:type="dxa"/>
            <w:top w:w="100" w:type="dxa"/>
            <w:right w:w="100" w:type="dxa"/>
            <w:bottom w:w="100" w:type="dxa"/>
          </w:tcMar>
          <w:tcW w:w="6960" w:type="dxa"/>
          <w:textDirection w:val="lrTb"/>
          <w:noWrap w:val="false"/>
        </w:tcPr>
        <w:p>
          <w:pPr>
            <w:widowControl w:val="false"/>
            <w:pBdr>
              <w:top w:val="none" w:color="000000" w:sz="4" w:space="0"/>
              <w:left w:val="none" w:color="000000" w:sz="4" w:space="0"/>
              <w:bottom w:val="none" w:color="000000" w:sz="4" w:space="0"/>
              <w:right w:val="none" w:color="000000" w:sz="4" w:space="0"/>
              <w:between w:val="none" w:color="000000" w:sz="4" w:space="0"/>
            </w:pBdr>
            <w:spacing w:line="240" w:lineRule="auto"/>
            <w:ind w:hanging="90"/>
            <w:rPr>
              <w:b/>
              <w:sz w:val="16"/>
              <w:szCs w:val="16"/>
            </w:rPr>
          </w:pPr>
          <w:r>
            <w:rPr>
              <w:b/>
              <w:sz w:val="16"/>
              <w:szCs w:val="16"/>
            </w:rPr>
            <mc:AlternateContent>
              <mc:Choice Requires="wpg">
                <w:drawing>
                  <wp:inline xmlns:wp="http://schemas.openxmlformats.org/drawingml/2006/wordprocessingDrawing" distT="0" distB="0" distL="0" distR="0">
                    <wp:extent cx="1034415" cy="27476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ic:nvPr/>
                          </pic:nvPicPr>
                          <pic:blipFill>
                            <a:blip r:embed="rId1"/>
                            <a:stretch/>
                          </pic:blipFill>
                          <pic:spPr bwMode="auto">
                            <a:xfrm>
                              <a:off x="0" y="0"/>
                              <a:ext cx="1034415" cy="274766"/>
                            </a:xfrm>
                            <a:prstGeom prst="rect">
                              <a:avLst/>
                            </a:prstGeom>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81.45pt;height:21.64pt;mso-wrap-distance-left:0.00pt;mso-wrap-distance-top:0.00pt;mso-wrap-distance-right:0.00pt;mso-wrap-distance-bottom:0.00pt;z-index:1;">
                    <v:imagedata r:id="rId1" o:title=""/>
                    <o:lock v:ext="edit" rotation="t"/>
                  </v:shape>
                </w:pict>
              </mc:Fallback>
            </mc:AlternateContent>
          </w:r>
          <w:r>
            <w:rPr>
              <w:b/>
              <w:sz w:val="16"/>
              <w:szCs w:val="16"/>
            </w:rPr>
          </w:r>
        </w:p>
      </w:tc>
      <w:tc>
        <w:tcPr>
          <w:shd w:val="clear" w:color="auto" w:fill="auto"/>
          <w:tcBorders>
            <w:top w:val="single" w:color="ffffff" w:sz="8" w:space="0"/>
            <w:left w:val="single" w:color="ffffff" w:sz="8" w:space="0"/>
            <w:bottom w:val="single" w:color="ffffff" w:sz="8" w:space="0"/>
            <w:right w:val="single" w:color="ffffff" w:sz="8" w:space="0"/>
          </w:tcBorders>
          <w:tcMar>
            <w:left w:w="100" w:type="dxa"/>
            <w:top w:w="100" w:type="dxa"/>
            <w:right w:w="100" w:type="dxa"/>
            <w:bottom w:w="100" w:type="dxa"/>
          </w:tcMar>
          <w:tcW w:w="2670" w:type="dxa"/>
          <w:textDirection w:val="lrTb"/>
          <w:noWrap w:val="false"/>
        </w:tcPr>
        <w:p>
          <w:pPr>
            <w:pBdr/>
            <w:spacing/>
            <w:ind/>
            <w:rPr>
              <w:rFonts w:ascii="Arial" w:hAnsi="Arial" w:eastAsia="Arial" w:cs="Arial"/>
              <w:b/>
              <w:sz w:val="16"/>
              <w:szCs w:val="16"/>
            </w:rPr>
          </w:pPr>
          <w:r>
            <w:rPr>
              <w:rFonts w:ascii="Arial" w:hAnsi="Arial" w:eastAsia="Arial" w:cs="Arial"/>
              <w:b/>
              <w:sz w:val="16"/>
              <w:szCs w:val="16"/>
            </w:rPr>
            <w:t xml:space="preserve">Executive Director</w:t>
          </w:r>
          <w:r>
            <w:rPr>
              <w:rFonts w:ascii="Arial" w:hAnsi="Arial" w:eastAsia="Arial" w:cs="Arial"/>
              <w:b/>
              <w:sz w:val="16"/>
              <w:szCs w:val="16"/>
            </w:rPr>
          </w:r>
        </w:p>
        <w:p>
          <w:pPr>
            <w:pBdr/>
            <w:spacing/>
            <w:ind/>
            <w:rPr>
              <w:rFonts w:ascii="Arial" w:hAnsi="Arial" w:eastAsia="Arial" w:cs="Arial"/>
              <w:color w:val="666666"/>
              <w:sz w:val="16"/>
              <w:szCs w:val="16"/>
            </w:rPr>
          </w:pPr>
          <w:r>
            <w:rPr>
              <w:rFonts w:ascii="Arial" w:hAnsi="Arial" w:eastAsia="Arial" w:cs="Arial"/>
              <w:color w:val="666666"/>
              <w:sz w:val="16"/>
              <w:szCs w:val="16"/>
            </w:rPr>
            <w:t xml:space="preserve">Christina Swarns</w:t>
          </w:r>
          <w:r>
            <w:rPr>
              <w:rFonts w:ascii="Arial" w:hAnsi="Arial" w:eastAsia="Arial" w:cs="Arial"/>
              <w:color w:val="666666"/>
              <w:sz w:val="16"/>
              <w:szCs w:val="16"/>
            </w:rPr>
          </w:r>
        </w:p>
        <w:p>
          <w:pPr>
            <w:pBdr/>
            <w:spacing/>
            <w:ind/>
            <w:rPr>
              <w:rFonts w:ascii="Arial" w:hAnsi="Arial" w:eastAsia="Arial" w:cs="Arial"/>
              <w:color w:val="666666"/>
              <w:sz w:val="16"/>
              <w:szCs w:val="16"/>
            </w:rPr>
          </w:pPr>
          <w:r>
            <w:rPr>
              <w:rFonts w:ascii="Arial" w:hAnsi="Arial" w:eastAsia="Arial" w:cs="Arial"/>
              <w:color w:val="666666"/>
              <w:sz w:val="16"/>
              <w:szCs w:val="16"/>
            </w:rPr>
          </w:r>
          <w:r>
            <w:rPr>
              <w:rFonts w:ascii="Arial" w:hAnsi="Arial" w:eastAsia="Arial" w:cs="Arial"/>
              <w:color w:val="666666"/>
              <w:sz w:val="16"/>
              <w:szCs w:val="16"/>
            </w:rPr>
          </w:r>
        </w:p>
        <w:p>
          <w:pPr>
            <w:pBdr/>
            <w:spacing/>
            <w:ind/>
            <w:rPr>
              <w:rFonts w:ascii="Arial" w:hAnsi="Arial" w:eastAsia="Arial" w:cs="Arial"/>
              <w:b/>
              <w:sz w:val="16"/>
              <w:szCs w:val="16"/>
            </w:rPr>
          </w:pPr>
          <w:r>
            <w:rPr>
              <w:rFonts w:ascii="Arial" w:hAnsi="Arial" w:eastAsia="Arial" w:cs="Arial"/>
              <w:b/>
              <w:sz w:val="16"/>
              <w:szCs w:val="16"/>
            </w:rPr>
            <w:t xml:space="preserve">Co-Founders &amp; Special Counsel</w:t>
          </w:r>
          <w:r>
            <w:rPr>
              <w:rFonts w:ascii="Arial" w:hAnsi="Arial" w:eastAsia="Arial" w:cs="Arial"/>
              <w:b/>
              <w:sz w:val="16"/>
              <w:szCs w:val="16"/>
            </w:rPr>
          </w:r>
        </w:p>
        <w:p>
          <w:pPr>
            <w:pBdr/>
            <w:spacing/>
            <w:ind/>
            <w:rPr>
              <w:rFonts w:ascii="Arial" w:hAnsi="Arial" w:eastAsia="Arial" w:cs="Arial"/>
              <w:color w:val="666666"/>
              <w:sz w:val="16"/>
              <w:szCs w:val="16"/>
            </w:rPr>
          </w:pPr>
          <w:r>
            <w:rPr>
              <w:rFonts w:ascii="Arial" w:hAnsi="Arial" w:eastAsia="Arial" w:cs="Arial"/>
              <w:color w:val="666666"/>
              <w:sz w:val="16"/>
              <w:szCs w:val="16"/>
            </w:rPr>
            <w:t xml:space="preserve">Barry C. Scheck, Esq.</w:t>
          </w:r>
          <w:r>
            <w:rPr>
              <w:rFonts w:ascii="Arial" w:hAnsi="Arial" w:eastAsia="Arial" w:cs="Arial"/>
              <w:color w:val="666666"/>
              <w:sz w:val="16"/>
              <w:szCs w:val="16"/>
            </w:rPr>
          </w:r>
        </w:p>
        <w:p>
          <w:pPr>
            <w:pBdr/>
            <w:spacing/>
            <w:ind/>
            <w:rPr>
              <w:rFonts w:ascii="Arial" w:hAnsi="Arial" w:eastAsia="Arial" w:cs="Arial"/>
              <w:b/>
              <w:sz w:val="16"/>
              <w:szCs w:val="16"/>
            </w:rPr>
          </w:pPr>
          <w:r>
            <w:rPr>
              <w:rFonts w:ascii="Arial" w:hAnsi="Arial" w:eastAsia="Arial" w:cs="Arial"/>
              <w:color w:val="666666"/>
              <w:sz w:val="16"/>
              <w:szCs w:val="16"/>
            </w:rPr>
            <w:t xml:space="preserve">Peter J. Neufeld, Esq.</w:t>
          </w:r>
          <w:r>
            <w:rPr>
              <w:rFonts w:ascii="Arial" w:hAnsi="Arial" w:eastAsia="Arial" w:cs="Arial"/>
              <w:b/>
              <w:sz w:val="16"/>
              <w:szCs w:val="16"/>
            </w:rPr>
          </w:r>
        </w:p>
      </w:tc>
    </w:tr>
  </w:tbl>
  <w:p>
    <w:pPr>
      <w:pBdr>
        <w:top w:val="none" w:color="000000" w:sz="4" w:space="0"/>
        <w:left w:val="none" w:color="000000" w:sz="4" w:space="0"/>
        <w:bottom w:val="none" w:color="000000" w:sz="4" w:space="0"/>
        <w:right w:val="none" w:color="000000" w:sz="4" w:space="0"/>
        <w:between w:val="none" w:color="000000" w:sz="4" w:space="0"/>
      </w:pBdr>
      <w:tabs>
        <w:tab w:val="center" w:leader="none" w:pos="4680"/>
        <w:tab w:val="right" w:leader="none" w:pos="9360"/>
      </w:tabs>
      <w:spacing w:line="240" w:lineRule="auto"/>
      <w:ind/>
      <w:rPr>
        <w:color w:val="000000"/>
      </w:rPr>
    </w:pPr>
    <w:r>
      <w:rPr>
        <w:color w:val="000000"/>
      </w:rPr>
    </w:r>
    <w:r>
      <w:rPr>
        <w:color w:val="000000"/>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Open Sans" w:hAnsi="Open Sans" w:eastAsia="Open Sans" w:cs="Open Sans"/>
        <w:sz w:val="18"/>
        <w:szCs w:val="18"/>
        <w:lang w:val="en" w:eastAsia="en-US" w:bidi="ar-SA"/>
      </w:rPr>
    </w:rPrDefault>
    <w:pPrDefault>
      <w:pPr>
        <w:pBdr/>
        <w:spacing w:after="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930"/>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93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93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93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93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93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93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93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93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93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93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93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93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93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93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93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93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93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93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93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93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93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93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93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93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93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93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93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93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93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93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93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93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93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93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9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9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9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9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9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9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9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93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93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93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93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93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93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93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93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93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93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93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93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93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93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9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9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9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9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9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9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9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93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93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93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93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93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93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93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93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93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93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93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93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93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93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93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93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93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93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93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93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93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93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93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93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93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93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93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93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93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93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93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93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93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93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93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93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93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93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93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93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93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93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9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9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9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9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9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9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9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93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93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93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93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93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93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93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93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93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93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93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93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93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93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44">
    <w:name w:val="Heading 7"/>
    <w:basedOn w:val="922"/>
    <w:next w:val="922"/>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922"/>
    <w:next w:val="922"/>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922"/>
    <w:next w:val="922"/>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929"/>
    <w:link w:val="923"/>
    <w:uiPriority w:val="9"/>
    <w:pPr>
      <w:pBdr/>
      <w:spacing/>
      <w:ind/>
    </w:pPr>
    <w:rPr>
      <w:rFonts w:ascii="Arial" w:hAnsi="Arial" w:eastAsia="Arial" w:cs="Arial"/>
      <w:color w:val="0f4761" w:themeColor="accent1" w:themeShade="BF"/>
      <w:sz w:val="40"/>
      <w:szCs w:val="40"/>
    </w:rPr>
  </w:style>
  <w:style w:type="character" w:styleId="150">
    <w:name w:val="Heading 2 Char"/>
    <w:basedOn w:val="929"/>
    <w:link w:val="924"/>
    <w:uiPriority w:val="9"/>
    <w:pPr>
      <w:pBdr/>
      <w:spacing/>
      <w:ind/>
    </w:pPr>
    <w:rPr>
      <w:rFonts w:ascii="Arial" w:hAnsi="Arial" w:eastAsia="Arial" w:cs="Arial"/>
      <w:color w:val="0f4761" w:themeColor="accent1" w:themeShade="BF"/>
      <w:sz w:val="32"/>
      <w:szCs w:val="32"/>
    </w:rPr>
  </w:style>
  <w:style w:type="character" w:styleId="151">
    <w:name w:val="Heading 3 Char"/>
    <w:basedOn w:val="929"/>
    <w:link w:val="925"/>
    <w:uiPriority w:val="9"/>
    <w:pPr>
      <w:pBdr/>
      <w:spacing/>
      <w:ind/>
    </w:pPr>
    <w:rPr>
      <w:rFonts w:ascii="Arial" w:hAnsi="Arial" w:eastAsia="Arial" w:cs="Arial"/>
      <w:color w:val="0f4761" w:themeColor="accent1" w:themeShade="BF"/>
      <w:sz w:val="28"/>
      <w:szCs w:val="28"/>
    </w:rPr>
  </w:style>
  <w:style w:type="character" w:styleId="152">
    <w:name w:val="Heading 4 Char"/>
    <w:basedOn w:val="929"/>
    <w:link w:val="926"/>
    <w:uiPriority w:val="9"/>
    <w:pPr>
      <w:pBdr/>
      <w:spacing/>
      <w:ind/>
    </w:pPr>
    <w:rPr>
      <w:rFonts w:ascii="Arial" w:hAnsi="Arial" w:eastAsia="Arial" w:cs="Arial"/>
      <w:i/>
      <w:iCs/>
      <w:color w:val="0f4761" w:themeColor="accent1" w:themeShade="BF"/>
    </w:rPr>
  </w:style>
  <w:style w:type="character" w:styleId="153">
    <w:name w:val="Heading 5 Char"/>
    <w:basedOn w:val="929"/>
    <w:link w:val="927"/>
    <w:uiPriority w:val="9"/>
    <w:pPr>
      <w:pBdr/>
      <w:spacing/>
      <w:ind/>
    </w:pPr>
    <w:rPr>
      <w:rFonts w:ascii="Arial" w:hAnsi="Arial" w:eastAsia="Arial" w:cs="Arial"/>
      <w:color w:val="0f4761" w:themeColor="accent1" w:themeShade="BF"/>
    </w:rPr>
  </w:style>
  <w:style w:type="character" w:styleId="154">
    <w:name w:val="Heading 6 Char"/>
    <w:basedOn w:val="929"/>
    <w:link w:val="928"/>
    <w:uiPriority w:val="9"/>
    <w:pPr>
      <w:pBdr/>
      <w:spacing/>
      <w:ind/>
    </w:pPr>
    <w:rPr>
      <w:rFonts w:ascii="Arial" w:hAnsi="Arial" w:eastAsia="Arial" w:cs="Arial"/>
      <w:i/>
      <w:iCs/>
      <w:color w:val="595959" w:themeColor="text1" w:themeTint="A6"/>
    </w:rPr>
  </w:style>
  <w:style w:type="character" w:styleId="155">
    <w:name w:val="Heading 7 Char"/>
    <w:basedOn w:val="929"/>
    <w:link w:val="144"/>
    <w:uiPriority w:val="9"/>
    <w:pPr>
      <w:pBdr/>
      <w:spacing/>
      <w:ind/>
    </w:pPr>
    <w:rPr>
      <w:rFonts w:ascii="Arial" w:hAnsi="Arial" w:eastAsia="Arial" w:cs="Arial"/>
      <w:color w:val="595959" w:themeColor="text1" w:themeTint="A6"/>
    </w:rPr>
  </w:style>
  <w:style w:type="character" w:styleId="156">
    <w:name w:val="Heading 8 Char"/>
    <w:basedOn w:val="929"/>
    <w:link w:val="145"/>
    <w:uiPriority w:val="9"/>
    <w:pPr>
      <w:pBdr/>
      <w:spacing/>
      <w:ind/>
    </w:pPr>
    <w:rPr>
      <w:rFonts w:ascii="Arial" w:hAnsi="Arial" w:eastAsia="Arial" w:cs="Arial"/>
      <w:i/>
      <w:iCs/>
      <w:color w:val="272727" w:themeColor="text1" w:themeTint="D8"/>
    </w:rPr>
  </w:style>
  <w:style w:type="character" w:styleId="157">
    <w:name w:val="Heading 9 Char"/>
    <w:basedOn w:val="929"/>
    <w:link w:val="146"/>
    <w:uiPriority w:val="9"/>
    <w:pPr>
      <w:pBdr/>
      <w:spacing/>
      <w:ind/>
    </w:pPr>
    <w:rPr>
      <w:rFonts w:ascii="Arial" w:hAnsi="Arial" w:eastAsia="Arial" w:cs="Arial"/>
      <w:i/>
      <w:iCs/>
      <w:color w:val="272727" w:themeColor="text1" w:themeTint="D8"/>
    </w:rPr>
  </w:style>
  <w:style w:type="character" w:styleId="159">
    <w:name w:val="Title Char"/>
    <w:basedOn w:val="929"/>
    <w:link w:val="932"/>
    <w:uiPriority w:val="10"/>
    <w:pPr>
      <w:pBdr/>
      <w:spacing/>
      <w:ind/>
    </w:pPr>
    <w:rPr>
      <w:rFonts w:ascii="Arial" w:hAnsi="Arial" w:eastAsia="Arial" w:cs="Arial"/>
      <w:spacing w:val="-10"/>
      <w:sz w:val="56"/>
      <w:szCs w:val="56"/>
    </w:rPr>
  </w:style>
  <w:style w:type="character" w:styleId="161">
    <w:name w:val="Subtitle Char"/>
    <w:basedOn w:val="929"/>
    <w:link w:val="933"/>
    <w:uiPriority w:val="11"/>
    <w:pPr>
      <w:pBdr/>
      <w:spacing/>
      <w:ind/>
    </w:pPr>
    <w:rPr>
      <w:color w:val="595959" w:themeColor="text1" w:themeTint="A6"/>
      <w:spacing w:val="15"/>
      <w:sz w:val="28"/>
      <w:szCs w:val="28"/>
    </w:rPr>
  </w:style>
  <w:style w:type="paragraph" w:styleId="162">
    <w:name w:val="Quote"/>
    <w:basedOn w:val="922"/>
    <w:next w:val="922"/>
    <w:link w:val="163"/>
    <w:uiPriority w:val="29"/>
    <w:qFormat/>
    <w:pPr>
      <w:pBdr/>
      <w:spacing w:before="160"/>
      <w:ind/>
      <w:jc w:val="center"/>
    </w:pPr>
    <w:rPr>
      <w:i/>
      <w:iCs/>
      <w:color w:val="404040" w:themeColor="text1" w:themeTint="BF"/>
    </w:rPr>
  </w:style>
  <w:style w:type="character" w:styleId="163">
    <w:name w:val="Quote Char"/>
    <w:basedOn w:val="929"/>
    <w:link w:val="162"/>
    <w:uiPriority w:val="29"/>
    <w:pPr>
      <w:pBdr/>
      <w:spacing/>
      <w:ind/>
    </w:pPr>
    <w:rPr>
      <w:i/>
      <w:iCs/>
      <w:color w:val="404040" w:themeColor="text1" w:themeTint="BF"/>
    </w:rPr>
  </w:style>
  <w:style w:type="paragraph" w:styleId="164">
    <w:name w:val="List Paragraph"/>
    <w:basedOn w:val="922"/>
    <w:uiPriority w:val="34"/>
    <w:qFormat/>
    <w:pPr>
      <w:pBdr/>
      <w:spacing/>
      <w:ind w:left="720"/>
      <w:contextualSpacing w:val="true"/>
    </w:pPr>
  </w:style>
  <w:style w:type="character" w:styleId="165">
    <w:name w:val="Intense Emphasis"/>
    <w:basedOn w:val="929"/>
    <w:uiPriority w:val="21"/>
    <w:qFormat/>
    <w:pPr>
      <w:pBdr/>
      <w:spacing/>
      <w:ind/>
    </w:pPr>
    <w:rPr>
      <w:i/>
      <w:iCs/>
      <w:color w:val="0f4761" w:themeColor="accent1" w:themeShade="BF"/>
    </w:rPr>
  </w:style>
  <w:style w:type="paragraph" w:styleId="166">
    <w:name w:val="Intense Quote"/>
    <w:basedOn w:val="922"/>
    <w:next w:val="922"/>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929"/>
    <w:link w:val="166"/>
    <w:uiPriority w:val="30"/>
    <w:pPr>
      <w:pBdr/>
      <w:spacing/>
      <w:ind/>
    </w:pPr>
    <w:rPr>
      <w:i/>
      <w:iCs/>
      <w:color w:val="0f4761" w:themeColor="accent1" w:themeShade="BF"/>
    </w:rPr>
  </w:style>
  <w:style w:type="character" w:styleId="168">
    <w:name w:val="Intense Reference"/>
    <w:basedOn w:val="929"/>
    <w:uiPriority w:val="32"/>
    <w:qFormat/>
    <w:pPr>
      <w:pBdr/>
      <w:spacing/>
      <w:ind/>
    </w:pPr>
    <w:rPr>
      <w:b/>
      <w:bCs/>
      <w:smallCaps/>
      <w:color w:val="0f4761" w:themeColor="accent1" w:themeShade="BF"/>
      <w:spacing w:val="5"/>
    </w:rPr>
  </w:style>
  <w:style w:type="paragraph" w:styleId="169">
    <w:name w:val="No Spacing"/>
    <w:basedOn w:val="922"/>
    <w:uiPriority w:val="1"/>
    <w:qFormat/>
    <w:pPr>
      <w:pBdr/>
      <w:spacing w:after="0" w:line="240" w:lineRule="auto"/>
      <w:ind/>
    </w:pPr>
  </w:style>
  <w:style w:type="character" w:styleId="170">
    <w:name w:val="Subtle Emphasis"/>
    <w:basedOn w:val="929"/>
    <w:uiPriority w:val="19"/>
    <w:qFormat/>
    <w:pPr>
      <w:pBdr/>
      <w:spacing/>
      <w:ind/>
    </w:pPr>
    <w:rPr>
      <w:i/>
      <w:iCs/>
      <w:color w:val="404040" w:themeColor="text1" w:themeTint="BF"/>
    </w:rPr>
  </w:style>
  <w:style w:type="character" w:styleId="171">
    <w:name w:val="Emphasis"/>
    <w:basedOn w:val="929"/>
    <w:uiPriority w:val="20"/>
    <w:qFormat/>
    <w:pPr>
      <w:pBdr/>
      <w:spacing/>
      <w:ind/>
    </w:pPr>
    <w:rPr>
      <w:i/>
      <w:iCs/>
    </w:rPr>
  </w:style>
  <w:style w:type="character" w:styleId="172">
    <w:name w:val="Strong"/>
    <w:basedOn w:val="929"/>
    <w:uiPriority w:val="22"/>
    <w:qFormat/>
    <w:pPr>
      <w:pBdr/>
      <w:spacing/>
      <w:ind/>
    </w:pPr>
    <w:rPr>
      <w:b/>
      <w:bCs/>
    </w:rPr>
  </w:style>
  <w:style w:type="character" w:styleId="173">
    <w:name w:val="Subtle Reference"/>
    <w:basedOn w:val="929"/>
    <w:uiPriority w:val="31"/>
    <w:qFormat/>
    <w:pPr>
      <w:pBdr/>
      <w:spacing/>
      <w:ind/>
    </w:pPr>
    <w:rPr>
      <w:smallCaps/>
      <w:color w:val="5a5a5a" w:themeColor="text1" w:themeTint="A5"/>
    </w:rPr>
  </w:style>
  <w:style w:type="character" w:styleId="174">
    <w:name w:val="Book Title"/>
    <w:basedOn w:val="929"/>
    <w:uiPriority w:val="33"/>
    <w:qFormat/>
    <w:pPr>
      <w:pBdr/>
      <w:spacing/>
      <w:ind/>
    </w:pPr>
    <w:rPr>
      <w:b/>
      <w:bCs/>
      <w:i/>
      <w:iCs/>
      <w:spacing w:val="5"/>
    </w:rPr>
  </w:style>
  <w:style w:type="paragraph" w:styleId="175">
    <w:name w:val="Header"/>
    <w:basedOn w:val="922"/>
    <w:link w:val="176"/>
    <w:uiPriority w:val="99"/>
    <w:unhideWhenUsed/>
    <w:pPr>
      <w:pBdr/>
      <w:tabs>
        <w:tab w:val="center" w:leader="none" w:pos="4844"/>
        <w:tab w:val="right" w:leader="none" w:pos="9689"/>
      </w:tabs>
      <w:spacing w:after="0" w:line="240" w:lineRule="auto"/>
      <w:ind/>
    </w:pPr>
  </w:style>
  <w:style w:type="character" w:styleId="176">
    <w:name w:val="Header Char"/>
    <w:basedOn w:val="929"/>
    <w:link w:val="175"/>
    <w:uiPriority w:val="99"/>
    <w:pPr>
      <w:pBdr/>
      <w:spacing/>
      <w:ind/>
    </w:pPr>
  </w:style>
  <w:style w:type="paragraph" w:styleId="177">
    <w:name w:val="Footer"/>
    <w:basedOn w:val="922"/>
    <w:link w:val="178"/>
    <w:uiPriority w:val="99"/>
    <w:unhideWhenUsed/>
    <w:pPr>
      <w:pBdr/>
      <w:tabs>
        <w:tab w:val="center" w:leader="none" w:pos="4844"/>
        <w:tab w:val="right" w:leader="none" w:pos="9689"/>
      </w:tabs>
      <w:spacing w:after="0" w:line="240" w:lineRule="auto"/>
      <w:ind/>
    </w:pPr>
  </w:style>
  <w:style w:type="character" w:styleId="178">
    <w:name w:val="Footer Char"/>
    <w:basedOn w:val="929"/>
    <w:link w:val="177"/>
    <w:uiPriority w:val="99"/>
    <w:pPr>
      <w:pBdr/>
      <w:spacing/>
      <w:ind/>
    </w:pPr>
  </w:style>
  <w:style w:type="paragraph" w:styleId="179">
    <w:name w:val="Caption"/>
    <w:basedOn w:val="922"/>
    <w:next w:val="922"/>
    <w:uiPriority w:val="35"/>
    <w:unhideWhenUsed/>
    <w:qFormat/>
    <w:pPr>
      <w:pBdr/>
      <w:spacing w:after="200" w:line="240" w:lineRule="auto"/>
      <w:ind/>
    </w:pPr>
    <w:rPr>
      <w:i/>
      <w:iCs/>
      <w:color w:val="0e2841" w:themeColor="text2"/>
      <w:sz w:val="18"/>
      <w:szCs w:val="18"/>
    </w:rPr>
  </w:style>
  <w:style w:type="paragraph" w:styleId="183">
    <w:name w:val="endnote text"/>
    <w:basedOn w:val="922"/>
    <w:link w:val="184"/>
    <w:uiPriority w:val="99"/>
    <w:semiHidden/>
    <w:unhideWhenUsed/>
    <w:pPr>
      <w:pBdr/>
      <w:spacing w:after="0" w:line="240" w:lineRule="auto"/>
      <w:ind/>
    </w:pPr>
    <w:rPr>
      <w:sz w:val="20"/>
      <w:szCs w:val="20"/>
    </w:rPr>
  </w:style>
  <w:style w:type="character" w:styleId="184">
    <w:name w:val="Endnote Text Char"/>
    <w:basedOn w:val="929"/>
    <w:link w:val="183"/>
    <w:uiPriority w:val="99"/>
    <w:semiHidden/>
    <w:pPr>
      <w:pBdr/>
      <w:spacing/>
      <w:ind/>
    </w:pPr>
    <w:rPr>
      <w:sz w:val="20"/>
      <w:szCs w:val="20"/>
    </w:rPr>
  </w:style>
  <w:style w:type="character" w:styleId="185">
    <w:name w:val="endnote reference"/>
    <w:basedOn w:val="929"/>
    <w:uiPriority w:val="99"/>
    <w:semiHidden/>
    <w:unhideWhenUsed/>
    <w:pPr>
      <w:pBdr/>
      <w:spacing/>
      <w:ind/>
    </w:pPr>
    <w:rPr>
      <w:vertAlign w:val="superscript"/>
    </w:rPr>
  </w:style>
  <w:style w:type="character" w:styleId="187">
    <w:name w:val="FollowedHyperlink"/>
    <w:basedOn w:val="929"/>
    <w:uiPriority w:val="99"/>
    <w:semiHidden/>
    <w:unhideWhenUsed/>
    <w:pPr>
      <w:pBdr/>
      <w:spacing/>
      <w:ind/>
    </w:pPr>
    <w:rPr>
      <w:color w:val="954f72" w:themeColor="followedHyperlink"/>
      <w:u w:val="single"/>
    </w:rPr>
  </w:style>
  <w:style w:type="paragraph" w:styleId="188">
    <w:name w:val="toc 1"/>
    <w:basedOn w:val="922"/>
    <w:next w:val="922"/>
    <w:uiPriority w:val="39"/>
    <w:unhideWhenUsed/>
    <w:pPr>
      <w:pBdr/>
      <w:spacing w:after="100"/>
      <w:ind/>
    </w:pPr>
  </w:style>
  <w:style w:type="paragraph" w:styleId="189">
    <w:name w:val="toc 2"/>
    <w:basedOn w:val="922"/>
    <w:next w:val="922"/>
    <w:uiPriority w:val="39"/>
    <w:unhideWhenUsed/>
    <w:pPr>
      <w:pBdr/>
      <w:spacing w:after="100"/>
      <w:ind w:left="220"/>
    </w:pPr>
  </w:style>
  <w:style w:type="paragraph" w:styleId="190">
    <w:name w:val="toc 3"/>
    <w:basedOn w:val="922"/>
    <w:next w:val="922"/>
    <w:uiPriority w:val="39"/>
    <w:unhideWhenUsed/>
    <w:pPr>
      <w:pBdr/>
      <w:spacing w:after="100"/>
      <w:ind w:left="440"/>
    </w:pPr>
  </w:style>
  <w:style w:type="paragraph" w:styleId="191">
    <w:name w:val="toc 4"/>
    <w:basedOn w:val="922"/>
    <w:next w:val="922"/>
    <w:uiPriority w:val="39"/>
    <w:unhideWhenUsed/>
    <w:pPr>
      <w:pBdr/>
      <w:spacing w:after="100"/>
      <w:ind w:left="660"/>
    </w:pPr>
  </w:style>
  <w:style w:type="paragraph" w:styleId="192">
    <w:name w:val="toc 5"/>
    <w:basedOn w:val="922"/>
    <w:next w:val="922"/>
    <w:uiPriority w:val="39"/>
    <w:unhideWhenUsed/>
    <w:pPr>
      <w:pBdr/>
      <w:spacing w:after="100"/>
      <w:ind w:left="880"/>
    </w:pPr>
  </w:style>
  <w:style w:type="paragraph" w:styleId="193">
    <w:name w:val="toc 6"/>
    <w:basedOn w:val="922"/>
    <w:next w:val="922"/>
    <w:uiPriority w:val="39"/>
    <w:unhideWhenUsed/>
    <w:pPr>
      <w:pBdr/>
      <w:spacing w:after="100"/>
      <w:ind w:left="1100"/>
    </w:pPr>
  </w:style>
  <w:style w:type="paragraph" w:styleId="194">
    <w:name w:val="toc 7"/>
    <w:basedOn w:val="922"/>
    <w:next w:val="922"/>
    <w:uiPriority w:val="39"/>
    <w:unhideWhenUsed/>
    <w:pPr>
      <w:pBdr/>
      <w:spacing w:after="100"/>
      <w:ind w:left="1320"/>
    </w:pPr>
  </w:style>
  <w:style w:type="paragraph" w:styleId="195">
    <w:name w:val="toc 8"/>
    <w:basedOn w:val="922"/>
    <w:next w:val="922"/>
    <w:uiPriority w:val="39"/>
    <w:unhideWhenUsed/>
    <w:pPr>
      <w:pBdr/>
      <w:spacing w:after="100"/>
      <w:ind w:left="1540"/>
    </w:pPr>
  </w:style>
  <w:style w:type="paragraph" w:styleId="196">
    <w:name w:val="toc 9"/>
    <w:basedOn w:val="922"/>
    <w:next w:val="922"/>
    <w:uiPriority w:val="39"/>
    <w:unhideWhenUsed/>
    <w:pPr>
      <w:pBdr/>
      <w:spacing w:after="100"/>
      <w:ind w:left="1760"/>
    </w:pPr>
  </w:style>
  <w:style w:type="paragraph" w:styleId="206">
    <w:name w:val="TOC Heading"/>
    <w:uiPriority w:val="39"/>
    <w:unhideWhenUsed/>
    <w:pPr>
      <w:pBdr/>
      <w:spacing/>
      <w:ind/>
    </w:pPr>
  </w:style>
  <w:style w:type="paragraph" w:styleId="207">
    <w:name w:val="table of figures"/>
    <w:basedOn w:val="922"/>
    <w:next w:val="922"/>
    <w:uiPriority w:val="99"/>
    <w:unhideWhenUsed/>
    <w:pPr>
      <w:pBdr/>
      <w:spacing w:after="0" w:afterAutospacing="0"/>
      <w:ind/>
    </w:pPr>
  </w:style>
  <w:style w:type="paragraph" w:styleId="922" w:default="1">
    <w:name w:val="Normal"/>
    <w:qFormat/>
    <w:pPr>
      <w:pBdr/>
      <w:spacing/>
      <w:ind/>
    </w:pPr>
  </w:style>
  <w:style w:type="paragraph" w:styleId="923">
    <w:name w:val="Heading 1"/>
    <w:basedOn w:val="922"/>
    <w:next w:val="922"/>
    <w:uiPriority w:val="9"/>
    <w:qFormat/>
    <w:pPr>
      <w:keepNext w:val="true"/>
      <w:keepLines w:val="true"/>
      <w:pBdr/>
      <w:spacing/>
      <w:ind/>
      <w:jc w:val="center"/>
      <w:outlineLvl w:val="0"/>
    </w:pPr>
    <w:rPr>
      <w:b/>
      <w:sz w:val="40"/>
      <w:szCs w:val="40"/>
    </w:rPr>
  </w:style>
  <w:style w:type="paragraph" w:styleId="924">
    <w:name w:val="Heading 2"/>
    <w:basedOn w:val="922"/>
    <w:next w:val="922"/>
    <w:uiPriority w:val="9"/>
    <w:semiHidden/>
    <w:unhideWhenUsed/>
    <w:qFormat/>
    <w:pPr>
      <w:keepNext w:val="true"/>
      <w:keepLines w:val="true"/>
      <w:pBdr/>
      <w:spacing/>
      <w:ind/>
      <w:outlineLvl w:val="1"/>
    </w:pPr>
    <w:rPr>
      <w:b/>
      <w:sz w:val="20"/>
      <w:szCs w:val="20"/>
    </w:rPr>
  </w:style>
  <w:style w:type="paragraph" w:styleId="925">
    <w:name w:val="Heading 3"/>
    <w:basedOn w:val="922"/>
    <w:next w:val="922"/>
    <w:uiPriority w:val="9"/>
    <w:semiHidden/>
    <w:unhideWhenUsed/>
    <w:qFormat/>
    <w:pPr>
      <w:keepNext w:val="true"/>
      <w:keepLines w:val="true"/>
      <w:pBdr/>
      <w:spacing/>
      <w:ind/>
      <w:jc w:val="center"/>
      <w:outlineLvl w:val="2"/>
    </w:pPr>
    <w:rPr>
      <w:color w:val="4368e8"/>
      <w:sz w:val="20"/>
      <w:szCs w:val="20"/>
    </w:rPr>
  </w:style>
  <w:style w:type="paragraph" w:styleId="926">
    <w:name w:val="Heading 4"/>
    <w:basedOn w:val="922"/>
    <w:next w:val="922"/>
    <w:uiPriority w:val="9"/>
    <w:semiHidden/>
    <w:unhideWhenUsed/>
    <w:qFormat/>
    <w:pPr>
      <w:keepNext w:val="true"/>
      <w:keepLines w:val="true"/>
      <w:pBdr/>
      <w:spacing w:after="80" w:before="280"/>
      <w:ind/>
      <w:outlineLvl w:val="3"/>
    </w:pPr>
    <w:rPr>
      <w:color w:val="666666"/>
      <w:sz w:val="24"/>
      <w:szCs w:val="24"/>
    </w:rPr>
  </w:style>
  <w:style w:type="paragraph" w:styleId="927">
    <w:name w:val="Heading 5"/>
    <w:basedOn w:val="922"/>
    <w:next w:val="922"/>
    <w:uiPriority w:val="9"/>
    <w:semiHidden/>
    <w:unhideWhenUsed/>
    <w:qFormat/>
    <w:pPr>
      <w:keepNext w:val="true"/>
      <w:keepLines w:val="true"/>
      <w:pBdr/>
      <w:spacing w:after="80" w:before="240"/>
      <w:ind/>
      <w:outlineLvl w:val="4"/>
    </w:pPr>
    <w:rPr>
      <w:color w:val="666666"/>
      <w:sz w:val="22"/>
      <w:szCs w:val="22"/>
    </w:rPr>
  </w:style>
  <w:style w:type="paragraph" w:styleId="928">
    <w:name w:val="Heading 6"/>
    <w:basedOn w:val="922"/>
    <w:next w:val="922"/>
    <w:uiPriority w:val="9"/>
    <w:semiHidden/>
    <w:unhideWhenUsed/>
    <w:qFormat/>
    <w:pPr>
      <w:keepNext w:val="true"/>
      <w:keepLines w:val="true"/>
      <w:pBdr/>
      <w:spacing w:after="80" w:before="240"/>
      <w:ind/>
      <w:outlineLvl w:val="5"/>
    </w:pPr>
    <w:rPr>
      <w:i/>
      <w:color w:val="666666"/>
      <w:sz w:val="22"/>
      <w:szCs w:val="22"/>
    </w:rPr>
  </w:style>
  <w:style w:type="character" w:styleId="929" w:default="1">
    <w:name w:val="Default Paragraph Font"/>
    <w:uiPriority w:val="1"/>
    <w:semiHidden/>
    <w:unhideWhenUsed/>
    <w:pPr>
      <w:pBdr/>
      <w:spacing/>
      <w:ind/>
    </w:pPr>
  </w:style>
  <w:style w:type="table" w:styleId="93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31" w:default="1">
    <w:name w:val="No List"/>
    <w:uiPriority w:val="99"/>
    <w:semiHidden/>
    <w:unhideWhenUsed/>
    <w:pPr>
      <w:pBdr/>
      <w:spacing/>
      <w:ind/>
    </w:pPr>
  </w:style>
  <w:style w:type="paragraph" w:styleId="932">
    <w:name w:val="Title"/>
    <w:basedOn w:val="922"/>
    <w:next w:val="922"/>
    <w:uiPriority w:val="10"/>
    <w:qFormat/>
    <w:pPr>
      <w:keepNext w:val="true"/>
      <w:keepLines w:val="true"/>
      <w:pBdr/>
      <w:spacing w:after="60"/>
      <w:ind/>
    </w:pPr>
    <w:rPr>
      <w:sz w:val="52"/>
      <w:szCs w:val="52"/>
    </w:rPr>
  </w:style>
  <w:style w:type="paragraph" w:styleId="933">
    <w:name w:val="Subtitle"/>
    <w:basedOn w:val="922"/>
    <w:next w:val="922"/>
    <w:uiPriority w:val="11"/>
    <w:qFormat/>
    <w:pPr>
      <w:keepNext w:val="true"/>
      <w:keepLines w:val="true"/>
      <w:pBdr/>
      <w:spacing w:after="320"/>
      <w:ind/>
    </w:pPr>
    <w:rPr>
      <w:rFonts w:ascii="Arial" w:hAnsi="Arial" w:eastAsia="Arial" w:cs="Arial"/>
      <w:color w:val="666666"/>
      <w:sz w:val="30"/>
      <w:szCs w:val="30"/>
    </w:rPr>
  </w:style>
  <w:style w:type="table" w:styleId="934" w:customStyle="1">
    <w:name w:val="StGen0"/>
    <w:basedOn w:val="930"/>
    <w:pPr>
      <w:pBdr/>
      <w:spacing/>
      <w:ind/>
    </w:pPr>
    <w:tblPr>
      <w:tblStyleRowBandSize w:val="1"/>
      <w:tblStyleColBandSize w:val="1"/>
      <w:tblBorders/>
      <w:tblCellMar>
        <w:left w:w="100" w:type="dxa"/>
        <w:top w:w="100" w:type="dxa"/>
        <w:right w:w="100" w:type="dxa"/>
        <w:bottom w:w="10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customStyle="1">
    <w:name w:val="StGen1"/>
    <w:basedOn w:val="930"/>
    <w:pPr>
      <w:pBdr/>
      <w:spacing/>
      <w:ind/>
    </w:pPr>
    <w:tblPr>
      <w:tblStyleRowBandSize w:val="1"/>
      <w:tblStyleColBandSize w:val="1"/>
      <w:tblBorders/>
      <w:tblCellMar>
        <w:left w:w="100" w:type="dxa"/>
        <w:top w:w="100" w:type="dxa"/>
        <w:right w:w="100" w:type="dxa"/>
        <w:bottom w:w="10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36">
    <w:name w:val="footnote text"/>
    <w:basedOn w:val="922"/>
    <w:link w:val="937"/>
    <w:uiPriority w:val="99"/>
    <w:semiHidden/>
    <w:unhideWhenUsed/>
    <w:pPr>
      <w:pBdr/>
      <w:spacing w:line="240" w:lineRule="auto"/>
      <w:ind/>
    </w:pPr>
    <w:rPr>
      <w:sz w:val="20"/>
      <w:szCs w:val="20"/>
    </w:rPr>
  </w:style>
  <w:style w:type="character" w:styleId="937" w:customStyle="1">
    <w:name w:val="Footnote Text Char"/>
    <w:basedOn w:val="929"/>
    <w:link w:val="936"/>
    <w:uiPriority w:val="99"/>
    <w:semiHidden/>
    <w:pPr>
      <w:pBdr/>
      <w:spacing/>
      <w:ind/>
    </w:pPr>
    <w:rPr>
      <w:sz w:val="20"/>
      <w:szCs w:val="20"/>
    </w:rPr>
  </w:style>
  <w:style w:type="character" w:styleId="938">
    <w:name w:val="footnote reference"/>
    <w:basedOn w:val="929"/>
    <w:uiPriority w:val="99"/>
    <w:semiHidden/>
    <w:unhideWhenUsed/>
    <w:pPr>
      <w:pBdr/>
      <w:spacing/>
      <w:ind/>
    </w:pPr>
    <w:rPr>
      <w:vertAlign w:val="superscript"/>
    </w:rPr>
  </w:style>
  <w:style w:type="character" w:styleId="939">
    <w:name w:val="Hyperlink"/>
    <w:basedOn w:val="929"/>
    <w:uiPriority w:val="99"/>
    <w:unhideWhenUsed/>
    <w:pPr>
      <w:pBdr/>
      <w:spacing/>
      <w:ind/>
    </w:pPr>
    <w:rPr>
      <w:color w:val="0000ff" w:themeColor="hyperlink"/>
      <w:u w:val="single"/>
    </w:rPr>
  </w:style>
  <w:style w:type="character" w:styleId="940">
    <w:name w:val="Unresolved Mention"/>
    <w:basedOn w:val="929"/>
    <w:uiPriority w:val="99"/>
    <w:semiHidden/>
    <w:unhideWhenUsed/>
    <w:pPr>
      <w:pBdr/>
      <w:spacing/>
      <w:ind/>
    </w:pPr>
    <w:rPr>
      <w:color w:val="605e5c"/>
      <w:shd w:val="clear" w:color="auto" w:fill="e1dfdd"/>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https://www.law.umich.edu/special/exoneration/Pages/detaillist.aspx?View=%7BFAF6EDDB-5A68-4F8F-8A52-2C61F5BF9EA7%7D&amp;FilterField1=OM%5Fx0020%5FTags&amp;FilterValue1=OF"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 Id="rId1" Type="http://schemas.openxmlformats.org/officeDocument/2006/relationships/hyperlink" Target="https://doi.org/10.1371/journal.pone.0267217" TargetMode="External"/><Relationship Id="rId2" Type="http://schemas.openxmlformats.org/officeDocument/2006/relationships/hyperlink" Target="https://doi.org/10.1073/pnas.1702413114" TargetMode="External"/><Relationship Id="rId3" Type="http://schemas.openxmlformats.org/officeDocument/2006/relationships/hyperlink" Target="https://doi.org/10.1093/pnasnexus/page359" TargetMode="External"/></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Application>ONLYOFFICE/8.2.2.22</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2024-12-25T02:06:00Z</dcterms:created>
  <dcterms:modified xsi:type="dcterms:W3CDTF">2024-12-25T02:29:27Z</dcterms:modified>
</cp:coreProperties>
</file>